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D11A1" w:rsidRDefault="004E22B8" w:rsidP="004E22B8">
      <w:pPr>
        <w:pBdr>
          <w:bottom w:val="single" w:sz="18" w:space="1" w:color="404040" w:themeColor="text1" w:themeTint="BF"/>
        </w:pBdr>
        <w:jc w:val="center"/>
        <w:rPr>
          <w:rFonts w:ascii="Arial" w:hAnsi="Arial" w:cs="Arial"/>
          <w:b/>
          <w:color w:val="404040" w:themeColor="text1" w:themeTint="BF"/>
          <w:sz w:val="36"/>
          <w:szCs w:val="36"/>
        </w:rPr>
      </w:pPr>
      <w:r>
        <w:rPr>
          <w:rFonts w:ascii="Arial" w:hAnsi="Arial" w:cs="Arial"/>
          <w:b/>
          <w:color w:val="404040" w:themeColor="text1" w:themeTint="BF"/>
          <w:sz w:val="36"/>
          <w:szCs w:val="36"/>
        </w:rPr>
        <w:t xml:space="preserve">Průvodní zpráva </w:t>
      </w:r>
    </w:p>
    <w:p w:rsidR="00474112" w:rsidRDefault="00FD11A1" w:rsidP="004E22B8">
      <w:pPr>
        <w:pBdr>
          <w:bottom w:val="single" w:sz="18" w:space="1" w:color="404040" w:themeColor="text1" w:themeTint="BF"/>
        </w:pBdr>
        <w:jc w:val="center"/>
        <w:rPr>
          <w:rFonts w:ascii="Arial" w:hAnsi="Arial" w:cs="Arial"/>
          <w:b/>
          <w:color w:val="404040" w:themeColor="text1" w:themeTint="BF"/>
          <w:sz w:val="36"/>
          <w:szCs w:val="36"/>
        </w:rPr>
      </w:pPr>
      <w:r>
        <w:rPr>
          <w:rFonts w:ascii="Arial" w:hAnsi="Arial" w:cs="Arial"/>
          <w:b/>
          <w:color w:val="404040" w:themeColor="text1" w:themeTint="BF"/>
          <w:sz w:val="36"/>
          <w:szCs w:val="36"/>
        </w:rPr>
        <w:t>„Studie - Rekonstrukce vestibulu – Karviná“</w:t>
      </w:r>
    </w:p>
    <w:p w:rsidR="00660811" w:rsidRDefault="00660811" w:rsidP="005C46F2">
      <w:pPr>
        <w:widowControl/>
        <w:suppressAutoHyphens w:val="0"/>
        <w:spacing w:line="276" w:lineRule="auto"/>
        <w:jc w:val="both"/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</w:pPr>
    </w:p>
    <w:p w:rsidR="000917EE" w:rsidRDefault="004E22B8" w:rsidP="005C46F2">
      <w:pPr>
        <w:widowControl/>
        <w:suppressAutoHyphens w:val="0"/>
        <w:spacing w:line="276" w:lineRule="auto"/>
        <w:jc w:val="both"/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</w:pPr>
      <w:r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  <w:t xml:space="preserve">Studie řeší </w:t>
      </w:r>
      <w:r w:rsidR="003C678D"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  <w:t xml:space="preserve">nový přístřešek před vstupem, </w:t>
      </w:r>
      <w:r w:rsidR="00817F87"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  <w:t xml:space="preserve">úpravu stávajících dispozic a </w:t>
      </w:r>
      <w:r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  <w:t xml:space="preserve">celkovou rekonstrukci interiérů </w:t>
      </w:r>
      <w:r w:rsidR="00817F87"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  <w:t>vstupních prostor</w:t>
      </w:r>
      <w:r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  <w:t xml:space="preserve"> v</w:t>
      </w:r>
      <w:r w:rsidR="00817F87"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  <w:t xml:space="preserve"> hlavní </w:t>
      </w:r>
      <w:r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  <w:t xml:space="preserve">budově </w:t>
      </w:r>
      <w:r w:rsidR="00817F87"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  <w:t>Nemocnice v Karviné Ráj.</w:t>
      </w:r>
    </w:p>
    <w:p w:rsidR="00E9101C" w:rsidRDefault="00E9101C" w:rsidP="005C46F2">
      <w:pPr>
        <w:widowControl/>
        <w:suppressAutoHyphens w:val="0"/>
        <w:spacing w:line="276" w:lineRule="auto"/>
        <w:jc w:val="both"/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</w:pPr>
    </w:p>
    <w:p w:rsidR="00E9101C" w:rsidRDefault="00E9101C" w:rsidP="00E9101C">
      <w:pPr>
        <w:autoSpaceDE w:val="0"/>
        <w:autoSpaceDN w:val="0"/>
        <w:adjustRightInd w:val="0"/>
        <w:ind w:firstLine="709"/>
        <w:jc w:val="both"/>
        <w:rPr>
          <w:rFonts w:ascii="Arial" w:eastAsia="Times New Roman" w:hAnsi="Arial" w:cs="Arial"/>
          <w:kern w:val="0"/>
          <w:sz w:val="20"/>
          <w:szCs w:val="20"/>
          <w:lang w:eastAsia="cs-CZ" w:bidi="ar-SA"/>
        </w:rPr>
      </w:pPr>
      <w:r>
        <w:rPr>
          <w:rFonts w:ascii="Arial" w:hAnsi="Arial" w:cs="Arial"/>
          <w:sz w:val="20"/>
        </w:rPr>
        <w:t xml:space="preserve">Jedná se o stávající objekt polikliniky s 1. PP a 5. NP, který byl vybudován v 70. letech minulého století. Objekt je provozně a komunikačně propojen s navazujícím komplexem monobloku nemocnice. </w:t>
      </w:r>
    </w:p>
    <w:p w:rsidR="00142D73" w:rsidRPr="00142D73" w:rsidRDefault="00142D73" w:rsidP="005C46F2">
      <w:pPr>
        <w:widowControl/>
        <w:suppressAutoHyphens w:val="0"/>
        <w:spacing w:line="276" w:lineRule="auto"/>
        <w:jc w:val="both"/>
        <w:rPr>
          <w:rFonts w:ascii="Calibri" w:eastAsia="Calibri" w:hAnsi="Calibri" w:cs="Times New Roman"/>
          <w:b/>
          <w:kern w:val="0"/>
          <w:sz w:val="22"/>
          <w:szCs w:val="22"/>
          <w:u w:val="single"/>
          <w:lang w:eastAsia="en-US" w:bidi="ar-SA"/>
        </w:rPr>
      </w:pPr>
    </w:p>
    <w:p w:rsidR="004E22B8" w:rsidRDefault="00817F87" w:rsidP="005C46F2">
      <w:pPr>
        <w:widowControl/>
        <w:suppressAutoHyphens w:val="0"/>
        <w:spacing w:line="276" w:lineRule="auto"/>
        <w:jc w:val="both"/>
        <w:rPr>
          <w:rFonts w:ascii="Calibri" w:eastAsia="Calibri" w:hAnsi="Calibri" w:cs="Times New Roman"/>
          <w:b/>
          <w:color w:val="1F4E79" w:themeColor="accent1" w:themeShade="80"/>
          <w:kern w:val="0"/>
          <w:sz w:val="22"/>
          <w:szCs w:val="22"/>
          <w:u w:val="single"/>
          <w:lang w:eastAsia="en-US" w:bidi="ar-SA"/>
        </w:rPr>
      </w:pPr>
      <w:r>
        <w:rPr>
          <w:rFonts w:ascii="Calibri" w:eastAsia="Calibri" w:hAnsi="Calibri" w:cs="Times New Roman"/>
          <w:b/>
          <w:color w:val="1F4E79" w:themeColor="accent1" w:themeShade="80"/>
          <w:kern w:val="0"/>
          <w:sz w:val="22"/>
          <w:szCs w:val="22"/>
          <w:u w:val="single"/>
          <w:lang w:eastAsia="en-US" w:bidi="ar-SA"/>
        </w:rPr>
        <w:t xml:space="preserve">Vstupní prostory </w:t>
      </w:r>
      <w:r w:rsidR="00142D73" w:rsidRPr="000F09E1">
        <w:rPr>
          <w:rFonts w:ascii="Calibri" w:eastAsia="Calibri" w:hAnsi="Calibri" w:cs="Times New Roman"/>
          <w:b/>
          <w:color w:val="1F4E79" w:themeColor="accent1" w:themeShade="80"/>
          <w:kern w:val="0"/>
          <w:sz w:val="22"/>
          <w:szCs w:val="22"/>
          <w:u w:val="single"/>
          <w:lang w:eastAsia="en-US" w:bidi="ar-SA"/>
        </w:rPr>
        <w:t>1.NP</w:t>
      </w:r>
      <w:r w:rsidR="008D7AE0">
        <w:rPr>
          <w:rFonts w:ascii="Calibri" w:eastAsia="Calibri" w:hAnsi="Calibri" w:cs="Times New Roman"/>
          <w:b/>
          <w:color w:val="1F4E79" w:themeColor="accent1" w:themeShade="80"/>
          <w:kern w:val="0"/>
          <w:sz w:val="22"/>
          <w:szCs w:val="22"/>
          <w:u w:val="single"/>
          <w:lang w:eastAsia="en-US" w:bidi="ar-SA"/>
        </w:rPr>
        <w:t xml:space="preserve"> – exteriér, interiér</w:t>
      </w:r>
    </w:p>
    <w:p w:rsidR="008D7AE0" w:rsidRDefault="008D7AE0" w:rsidP="005C46F2">
      <w:pPr>
        <w:widowControl/>
        <w:suppressAutoHyphens w:val="0"/>
        <w:spacing w:line="276" w:lineRule="auto"/>
        <w:jc w:val="both"/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</w:pPr>
      <w:r w:rsidRPr="003C678D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>Navrhovan</w:t>
      </w:r>
      <w:r w:rsidR="003C678D" w:rsidRPr="003C678D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 xml:space="preserve">ý přístřešek </w:t>
      </w:r>
      <w:r w:rsidR="003C678D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>před hlavním vstupem do budovy</w:t>
      </w:r>
      <w:r w:rsidRPr="003C678D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 xml:space="preserve"> a</w:t>
      </w:r>
      <w:r w:rsidR="003C678D" w:rsidRPr="003C678D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 xml:space="preserve"> dispoziční úpravy </w:t>
      </w:r>
      <w:r w:rsidR="003C678D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 xml:space="preserve">se změnou užívání některých prostor </w:t>
      </w:r>
      <w:r w:rsidR="003C678D" w:rsidRPr="003C678D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>v</w:t>
      </w:r>
      <w:r w:rsidR="003C678D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> </w:t>
      </w:r>
      <w:r w:rsidRPr="003C678D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>interiéru</w:t>
      </w:r>
      <w:r w:rsidR="003C678D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 xml:space="preserve"> budou pravděpodobně vyžadovat vypracování projektu pro společné územní a stavební řízení.</w:t>
      </w:r>
    </w:p>
    <w:p w:rsidR="003C678D" w:rsidRDefault="003C678D" w:rsidP="005C46F2">
      <w:pPr>
        <w:widowControl/>
        <w:suppressAutoHyphens w:val="0"/>
        <w:spacing w:line="276" w:lineRule="auto"/>
        <w:jc w:val="both"/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</w:pPr>
    </w:p>
    <w:p w:rsidR="003C678D" w:rsidRDefault="003C678D" w:rsidP="003C678D">
      <w:pPr>
        <w:widowControl/>
        <w:suppressAutoHyphens w:val="0"/>
        <w:spacing w:line="276" w:lineRule="auto"/>
        <w:ind w:firstLine="360"/>
        <w:jc w:val="both"/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</w:pPr>
      <w:r w:rsidRPr="003C678D"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  <w:t>Přístřešek před vstupem</w:t>
      </w:r>
    </w:p>
    <w:p w:rsidR="003C678D" w:rsidRDefault="00FA1502" w:rsidP="00FA1502">
      <w:pPr>
        <w:widowControl/>
        <w:suppressAutoHyphens w:val="0"/>
        <w:spacing w:line="276" w:lineRule="auto"/>
        <w:ind w:left="360"/>
        <w:jc w:val="both"/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</w:pPr>
      <w:r w:rsidRPr="00FA1502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 xml:space="preserve">Zastřešení části prostoru před vstupem je ze strany investora požadováno </w:t>
      </w:r>
      <w:r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 xml:space="preserve">především </w:t>
      </w:r>
      <w:r w:rsidRPr="00FA1502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 xml:space="preserve">z důvodu zajištění komfortu pro pacienty </w:t>
      </w:r>
      <w:r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 xml:space="preserve">při jejich přesunu ze sanitního vozu do vnitřního prostoru nemocnice. Za stávajících podmínek – bez zastřešení, toto není možné při nepřízni počasí zajistit. </w:t>
      </w:r>
    </w:p>
    <w:p w:rsidR="00FA1502" w:rsidRDefault="00FA1502" w:rsidP="00FA1502">
      <w:pPr>
        <w:widowControl/>
        <w:suppressAutoHyphens w:val="0"/>
        <w:spacing w:line="276" w:lineRule="auto"/>
        <w:ind w:left="360"/>
        <w:jc w:val="both"/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</w:pPr>
      <w:r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 xml:space="preserve">Pro dané využití je navrhován minimální rozměr přístřešku </w:t>
      </w:r>
      <w:r w:rsidR="009A4B2E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>4x6m. Nosnou konstrukci představují dva ocelové pilíře spojené nad střechou v ocelový rám ve tvaru U. K nosným pilířům je upevněn ocelový rám střechy s výplní z ocelových profilů a s opláštěním (např. kompaktní desky</w:t>
      </w:r>
      <w:r w:rsidR="00EF0B91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 xml:space="preserve"> v nehořlavém provedení</w:t>
      </w:r>
      <w:r w:rsidR="009A4B2E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 xml:space="preserve">). Nová střecha bude ukotvena rovněž do zdiva fasády objektu. </w:t>
      </w:r>
      <w:r w:rsidR="00105122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 xml:space="preserve">Střešní plášť musí být proveden z materiálu nešířícím požár. </w:t>
      </w:r>
      <w:r w:rsidR="00EF0B91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>Pod přístřeškem bude část pochozí plochy tvořit venkovní čisticí zóna.</w:t>
      </w:r>
    </w:p>
    <w:p w:rsidR="009A4B2E" w:rsidRPr="00FA1502" w:rsidRDefault="009A4B2E" w:rsidP="00FA1502">
      <w:pPr>
        <w:widowControl/>
        <w:suppressAutoHyphens w:val="0"/>
        <w:spacing w:line="276" w:lineRule="auto"/>
        <w:ind w:left="360"/>
        <w:jc w:val="both"/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</w:pPr>
    </w:p>
    <w:p w:rsidR="008D7AE0" w:rsidRDefault="008D7AE0" w:rsidP="008D7AE0">
      <w:pPr>
        <w:widowControl/>
        <w:suppressAutoHyphens w:val="0"/>
        <w:spacing w:line="276" w:lineRule="auto"/>
        <w:ind w:firstLine="360"/>
        <w:jc w:val="both"/>
        <w:rPr>
          <w:rFonts w:asciiTheme="minorHAnsi" w:eastAsiaTheme="minorHAnsi" w:hAnsiTheme="minorHAnsi" w:cs="Calibri"/>
          <w:b/>
          <w:bCs/>
          <w:kern w:val="0"/>
          <w:sz w:val="22"/>
          <w:szCs w:val="22"/>
          <w:lang w:eastAsia="en-US" w:bidi="ar-SA"/>
        </w:rPr>
      </w:pPr>
      <w:r>
        <w:rPr>
          <w:rFonts w:asciiTheme="minorHAnsi" w:eastAsiaTheme="minorHAnsi" w:hAnsiTheme="minorHAnsi" w:cs="Calibri"/>
          <w:b/>
          <w:bCs/>
          <w:kern w:val="0"/>
          <w:sz w:val="22"/>
          <w:szCs w:val="22"/>
          <w:lang w:eastAsia="en-US" w:bidi="ar-SA"/>
        </w:rPr>
        <w:t>Dispoziční změny</w:t>
      </w:r>
    </w:p>
    <w:p w:rsidR="00F658A3" w:rsidRDefault="008D7AE0" w:rsidP="00F658A3">
      <w:pPr>
        <w:widowControl/>
        <w:suppressAutoHyphens w:val="0"/>
        <w:spacing w:line="276" w:lineRule="auto"/>
        <w:ind w:left="360"/>
        <w:jc w:val="both"/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</w:pPr>
      <w:r w:rsidRPr="00F658A3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Mezi hlavní dispoziční úpravy patří</w:t>
      </w:r>
      <w:r w:rsidR="00F658A3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:</w:t>
      </w:r>
    </w:p>
    <w:p w:rsidR="008D7AE0" w:rsidRPr="00F658A3" w:rsidRDefault="00F658A3" w:rsidP="00F658A3">
      <w:pPr>
        <w:pStyle w:val="Odstavecseseznamem"/>
        <w:widowControl/>
        <w:numPr>
          <w:ilvl w:val="0"/>
          <w:numId w:val="31"/>
        </w:numPr>
        <w:suppressAutoHyphens w:val="0"/>
        <w:spacing w:line="276" w:lineRule="auto"/>
        <w:jc w:val="both"/>
        <w:rPr>
          <w:rFonts w:ascii="Calibri" w:eastAsia="Calibri" w:hAnsi="Calibri" w:cs="Times New Roman"/>
          <w:color w:val="1F4E79" w:themeColor="accent1" w:themeShade="80"/>
          <w:kern w:val="0"/>
          <w:sz w:val="22"/>
          <w:szCs w:val="22"/>
          <w:u w:val="single"/>
          <w:lang w:eastAsia="en-US" w:bidi="ar-SA"/>
        </w:rPr>
      </w:pPr>
      <w:r w:rsidRPr="00F658A3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stávající CT popisovn</w:t>
      </w:r>
      <w:r w:rsidR="00DD7796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a</w:t>
      </w:r>
      <w:r w:rsidRPr="00F658A3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</w:t>
      </w:r>
      <w:r w:rsidR="00DD7796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- nově </w:t>
      </w:r>
      <w:r w:rsidRPr="00F658A3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zázemí </w:t>
      </w:r>
      <w:r w:rsidR="00DD7796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1.12 (</w:t>
      </w:r>
      <w:r w:rsidRPr="00F658A3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pro místnost č. 1.11 </w:t>
      </w: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–</w:t>
      </w:r>
      <w:r w:rsidRPr="00F658A3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informace</w:t>
      </w:r>
      <w:r w:rsidR="00DD7796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)</w:t>
      </w:r>
    </w:p>
    <w:p w:rsidR="00F658A3" w:rsidRDefault="00DD7796" w:rsidP="00F658A3">
      <w:pPr>
        <w:pStyle w:val="Odstavecseseznamem"/>
        <w:widowControl/>
        <w:numPr>
          <w:ilvl w:val="0"/>
          <w:numId w:val="31"/>
        </w:numPr>
        <w:suppressAutoHyphens w:val="0"/>
        <w:spacing w:line="276" w:lineRule="auto"/>
        <w:jc w:val="both"/>
        <w:rPr>
          <w:rFonts w:ascii="Calibri" w:eastAsia="Calibri" w:hAnsi="Calibri" w:cs="Times New Roman"/>
          <w:kern w:val="0"/>
          <w:sz w:val="22"/>
          <w:szCs w:val="22"/>
          <w:lang w:eastAsia="en-US" w:bidi="ar-SA"/>
        </w:rPr>
      </w:pPr>
      <w:r w:rsidRPr="00DD7796">
        <w:rPr>
          <w:rFonts w:ascii="Calibri" w:eastAsia="Calibri" w:hAnsi="Calibri" w:cs="Times New Roman"/>
          <w:kern w:val="0"/>
          <w:sz w:val="22"/>
          <w:szCs w:val="22"/>
          <w:lang w:eastAsia="en-US" w:bidi="ar-SA"/>
        </w:rPr>
        <w:t>stávající Optika – nově informace</w:t>
      </w:r>
      <w:r>
        <w:rPr>
          <w:rFonts w:ascii="Calibri" w:eastAsia="Calibri" w:hAnsi="Calibri" w:cs="Times New Roman"/>
          <w:kern w:val="0"/>
          <w:sz w:val="22"/>
          <w:szCs w:val="22"/>
          <w:lang w:eastAsia="en-US" w:bidi="ar-SA"/>
        </w:rPr>
        <w:t xml:space="preserve"> 1.11</w:t>
      </w:r>
    </w:p>
    <w:p w:rsidR="00DD7796" w:rsidRDefault="00DD7796" w:rsidP="00F658A3">
      <w:pPr>
        <w:pStyle w:val="Odstavecseseznamem"/>
        <w:widowControl/>
        <w:numPr>
          <w:ilvl w:val="0"/>
          <w:numId w:val="31"/>
        </w:numPr>
        <w:suppressAutoHyphens w:val="0"/>
        <w:spacing w:line="276" w:lineRule="auto"/>
        <w:jc w:val="both"/>
        <w:rPr>
          <w:rFonts w:ascii="Calibri" w:eastAsia="Calibri" w:hAnsi="Calibri" w:cs="Times New Roman"/>
          <w:kern w:val="0"/>
          <w:sz w:val="22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 w:val="22"/>
          <w:szCs w:val="22"/>
          <w:lang w:eastAsia="en-US" w:bidi="ar-SA"/>
        </w:rPr>
        <w:t>stávající zázemí Optiky  - nově předsíňka 1.13, WC 1.14, sklad 1.15</w:t>
      </w:r>
    </w:p>
    <w:p w:rsidR="00DD7796" w:rsidRDefault="00DD7796" w:rsidP="00F658A3">
      <w:pPr>
        <w:pStyle w:val="Odstavecseseznamem"/>
        <w:widowControl/>
        <w:numPr>
          <w:ilvl w:val="0"/>
          <w:numId w:val="31"/>
        </w:numPr>
        <w:suppressAutoHyphens w:val="0"/>
        <w:spacing w:line="276" w:lineRule="auto"/>
        <w:jc w:val="both"/>
        <w:rPr>
          <w:rFonts w:ascii="Calibri" w:eastAsia="Calibri" w:hAnsi="Calibri" w:cs="Times New Roman"/>
          <w:kern w:val="0"/>
          <w:sz w:val="22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 w:val="22"/>
          <w:szCs w:val="22"/>
          <w:lang w:eastAsia="en-US" w:bidi="ar-SA"/>
        </w:rPr>
        <w:t>stávající inspekční pokoj – nově objednací místnost 1.16</w:t>
      </w:r>
    </w:p>
    <w:p w:rsidR="00DD7796" w:rsidRDefault="007B6056" w:rsidP="00F658A3">
      <w:pPr>
        <w:pStyle w:val="Odstavecseseznamem"/>
        <w:widowControl/>
        <w:numPr>
          <w:ilvl w:val="0"/>
          <w:numId w:val="31"/>
        </w:numPr>
        <w:suppressAutoHyphens w:val="0"/>
        <w:spacing w:line="276" w:lineRule="auto"/>
        <w:jc w:val="both"/>
        <w:rPr>
          <w:rFonts w:ascii="Calibri" w:eastAsia="Calibri" w:hAnsi="Calibri" w:cs="Times New Roman"/>
          <w:kern w:val="0"/>
          <w:sz w:val="22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 w:val="22"/>
          <w:szCs w:val="22"/>
          <w:lang w:eastAsia="en-US" w:bidi="ar-SA"/>
        </w:rPr>
        <w:t xml:space="preserve">stávající místnost ostrahy – nově místnost pro inv. </w:t>
      </w:r>
      <w:r w:rsidR="009B272B">
        <w:rPr>
          <w:rFonts w:ascii="Calibri" w:eastAsia="Calibri" w:hAnsi="Calibri" w:cs="Times New Roman"/>
          <w:kern w:val="0"/>
          <w:sz w:val="22"/>
          <w:szCs w:val="22"/>
          <w:lang w:eastAsia="en-US" w:bidi="ar-SA"/>
        </w:rPr>
        <w:t>v</w:t>
      </w:r>
      <w:r>
        <w:rPr>
          <w:rFonts w:ascii="Calibri" w:eastAsia="Calibri" w:hAnsi="Calibri" w:cs="Times New Roman"/>
          <w:kern w:val="0"/>
          <w:sz w:val="22"/>
          <w:szCs w:val="22"/>
          <w:lang w:eastAsia="en-US" w:bidi="ar-SA"/>
        </w:rPr>
        <w:t>ozíky 1.10</w:t>
      </w:r>
    </w:p>
    <w:p w:rsidR="007B6056" w:rsidRDefault="007B6056" w:rsidP="00F658A3">
      <w:pPr>
        <w:pStyle w:val="Odstavecseseznamem"/>
        <w:widowControl/>
        <w:numPr>
          <w:ilvl w:val="0"/>
          <w:numId w:val="31"/>
        </w:numPr>
        <w:suppressAutoHyphens w:val="0"/>
        <w:spacing w:line="276" w:lineRule="auto"/>
        <w:jc w:val="both"/>
        <w:rPr>
          <w:rFonts w:ascii="Calibri" w:eastAsia="Calibri" w:hAnsi="Calibri" w:cs="Times New Roman"/>
          <w:kern w:val="0"/>
          <w:sz w:val="22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 w:val="22"/>
          <w:szCs w:val="22"/>
          <w:lang w:eastAsia="en-US" w:bidi="ar-SA"/>
        </w:rPr>
        <w:t>stávající zázemí recepce – nově čekárna 1.04</w:t>
      </w:r>
    </w:p>
    <w:p w:rsidR="007B6056" w:rsidRDefault="007B6056" w:rsidP="00F658A3">
      <w:pPr>
        <w:pStyle w:val="Odstavecseseznamem"/>
        <w:widowControl/>
        <w:numPr>
          <w:ilvl w:val="0"/>
          <w:numId w:val="31"/>
        </w:numPr>
        <w:suppressAutoHyphens w:val="0"/>
        <w:spacing w:line="276" w:lineRule="auto"/>
        <w:jc w:val="both"/>
        <w:rPr>
          <w:rFonts w:ascii="Calibri" w:eastAsia="Calibri" w:hAnsi="Calibri" w:cs="Times New Roman"/>
          <w:kern w:val="0"/>
          <w:sz w:val="22"/>
          <w:szCs w:val="22"/>
          <w:lang w:eastAsia="en-US" w:bidi="ar-SA"/>
        </w:rPr>
      </w:pPr>
      <w:r>
        <w:rPr>
          <w:rFonts w:ascii="Calibri" w:eastAsia="Calibri" w:hAnsi="Calibri" w:cs="Times New Roman"/>
          <w:kern w:val="0"/>
          <w:sz w:val="22"/>
          <w:szCs w:val="22"/>
          <w:lang w:eastAsia="en-US" w:bidi="ar-SA"/>
        </w:rPr>
        <w:t>stávající soc. zař. pro recepci  - nově WC pro klienty 1.05, 1.06</w:t>
      </w:r>
    </w:p>
    <w:p w:rsidR="007B6056" w:rsidRPr="007B6056" w:rsidRDefault="007B6056" w:rsidP="007B6056">
      <w:pPr>
        <w:widowControl/>
        <w:suppressAutoHyphens w:val="0"/>
        <w:spacing w:line="276" w:lineRule="auto"/>
        <w:ind w:left="405"/>
        <w:jc w:val="both"/>
        <w:rPr>
          <w:rFonts w:ascii="Calibri" w:eastAsia="Calibri" w:hAnsi="Calibri" w:cs="Times New Roman"/>
          <w:kern w:val="0"/>
          <w:sz w:val="22"/>
          <w:szCs w:val="22"/>
          <w:lang w:eastAsia="en-US" w:bidi="ar-SA"/>
        </w:rPr>
      </w:pPr>
    </w:p>
    <w:p w:rsidR="00336620" w:rsidRDefault="004E22B8" w:rsidP="000F09E1">
      <w:pPr>
        <w:widowControl/>
        <w:suppressAutoHyphens w:val="0"/>
        <w:ind w:firstLine="360"/>
        <w:jc w:val="both"/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</w:pPr>
      <w:r w:rsidRPr="00336620">
        <w:rPr>
          <w:rFonts w:asciiTheme="minorHAnsi" w:eastAsiaTheme="minorHAnsi" w:hAnsiTheme="minorHAnsi" w:cs="Calibri"/>
          <w:b/>
          <w:bCs/>
          <w:kern w:val="0"/>
          <w:sz w:val="22"/>
          <w:szCs w:val="22"/>
          <w:lang w:eastAsia="en-US" w:bidi="ar-SA"/>
        </w:rPr>
        <w:t>Stavební úpravy</w:t>
      </w:r>
      <w:r w:rsidR="00142D73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</w:t>
      </w:r>
    </w:p>
    <w:p w:rsidR="0052113B" w:rsidRDefault="0052113B" w:rsidP="0052113B">
      <w:pPr>
        <w:widowControl/>
        <w:suppressAutoHyphens w:val="0"/>
        <w:ind w:left="360"/>
        <w:jc w:val="both"/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</w:pP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Součástí bouracích prací bude vybourání otvoru ve stávající příčce mezi vstupní chodbou 1.02 a objednací místností 1.16. Bude odstraněna hliníková prosklená stěna stávající Optiky. Bude zazděn otvor v místě stávajících dveří do popisovny a vybourán nový otvor pro dveře do zázemí pro 1.1</w:t>
      </w:r>
      <w:r w:rsidR="00A3152D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2 a informace 1.11</w:t>
      </w: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. Budou provedeny nové příčky oddělující m.č. 1.11 a zázemí 1.12, 1.13, 1.14, 1.15. V místě stávajícího soc. zař. pro recepci vznikne nová předsíňka a WC pro klienty přístupné z</w:t>
      </w:r>
      <w:r w:rsidR="009B272B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 </w:t>
      </w: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čekárny</w:t>
      </w:r>
      <w:r w:rsidR="009B272B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1.04</w:t>
      </w: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. Stávající mříž (EPS) u recepce bude odstraněna.</w:t>
      </w:r>
      <w:r w:rsidR="00EE29ED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Stávající větrací otvory ve zdech do prostoru vstupní chodby budou zazděny.</w:t>
      </w:r>
      <w:r w:rsidR="00E549DB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Větrání místnosti 1.10 je zajištěno trvale otevřenými dveřmi – EPS. Předsíňka 1.13, WC 1.14 a sklad 1.15 budou odvětrány nuceně s mřížkou na fasádu. </w:t>
      </w:r>
    </w:p>
    <w:p w:rsidR="00416859" w:rsidRDefault="000F09E1" w:rsidP="000F09E1">
      <w:pPr>
        <w:widowControl/>
        <w:suppressAutoHyphens w:val="0"/>
        <w:ind w:left="360"/>
        <w:jc w:val="both"/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</w:pP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B</w:t>
      </w:r>
      <w:r w:rsidR="00142D73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ourací práce</w:t>
      </w:r>
      <w:r w:rsidR="004E22B8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</w:t>
      </w:r>
      <w:r w:rsidR="0052113B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dále </w:t>
      </w:r>
      <w:r w:rsidR="004E22B8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zahrnují o</w:t>
      </w:r>
      <w:r w:rsidR="004E22B8" w:rsidRPr="004E22B8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dstranění stávajících dlažeb</w:t>
      </w:r>
      <w:r w:rsidR="00142D73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v</w:t>
      </w:r>
      <w:r w:rsidR="00817F87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e vstupní hale</w:t>
      </w:r>
      <w:r w:rsidR="00336620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</w:t>
      </w:r>
      <w:r w:rsidR="00416859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a dotčených prostorách </w:t>
      </w:r>
      <w:r w:rsidR="00336620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(včetně podkladního betonu)</w:t>
      </w:r>
      <w:r w:rsidR="00817F87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. Na základě provedené sondy v jiné části budovy se předpokládá </w:t>
      </w:r>
      <w:r w:rsidR="00817F87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lastRenderedPageBreak/>
        <w:t xml:space="preserve">celková tl. vrstev podlahy na nosné části stropu 12cm. </w:t>
      </w:r>
      <w:r w:rsidR="00142D73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Je navrženo</w:t>
      </w:r>
      <w:r w:rsidR="004E22B8" w:rsidRPr="004E22B8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</w:t>
      </w:r>
      <w:r w:rsidR="00142D73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odstranění veškerých</w:t>
      </w:r>
      <w:r w:rsidR="004E22B8" w:rsidRPr="004E22B8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</w:t>
      </w:r>
      <w:r w:rsidR="00817F87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stávajících </w:t>
      </w:r>
      <w:r w:rsidR="004E22B8" w:rsidRPr="004E22B8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obkladů stěn</w:t>
      </w:r>
      <w:r w:rsidR="00416859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, včetně keramických obkladů stávajícího soc. zařízení</w:t>
      </w:r>
      <w:r w:rsidR="00817F87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.</w:t>
      </w:r>
      <w:r w:rsidR="004E22B8" w:rsidRPr="004E22B8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</w:t>
      </w:r>
      <w:r w:rsidR="00416859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Budou demontovány zařizovací předměty v soc. zařízení. B</w:t>
      </w:r>
      <w:r w:rsidR="008D7AE0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udou demontován</w:t>
      </w:r>
      <w:r w:rsidR="00416859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y stávající hliníkové dělicí prosklené stěny s dveřmi a dřevěná dveřní křídla, včetně zárubní. Stávající zavěšená tepelná clona v hale 1.02 bude demontována a opět upevněna pod stropem v zádveří 1.01. </w:t>
      </w:r>
      <w:r w:rsidR="00AC2D6F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Stávající trasa podstropních trubních rozvodů k tepelné cloně</w:t>
      </w:r>
      <w:r w:rsidR="00416859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</w:t>
      </w:r>
      <w:r w:rsidR="00AC2D6F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bude zrušena a nahrazena novou pod stropem místnosti 1.11, 1.13 a 1.14.</w:t>
      </w:r>
    </w:p>
    <w:p w:rsidR="00AC2D6F" w:rsidRPr="00E9101C" w:rsidRDefault="00AC2D6F" w:rsidP="000F09E1">
      <w:pPr>
        <w:widowControl/>
        <w:suppressAutoHyphens w:val="0"/>
        <w:ind w:left="360"/>
        <w:jc w:val="both"/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</w:pPr>
      <w:r w:rsidRPr="00E9101C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Předpokládá se, že stávající slaboproudé rozvody v lištách pod stropem nejsou v nehořlavém provedení, což je v rozporu s jejich umístěním v chráněné únikové cestě. Bude nutno tato vedení nahradit vyhovujícím způsobem.</w:t>
      </w:r>
    </w:p>
    <w:p w:rsidR="00011FAA" w:rsidRDefault="00011FAA" w:rsidP="000F09E1">
      <w:pPr>
        <w:widowControl/>
        <w:suppressAutoHyphens w:val="0"/>
        <w:ind w:left="360"/>
        <w:jc w:val="both"/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</w:pP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Stávající radiátor nacházející se naproti nového vstupu do místnosti 1.11 bude demontován. Nový radiátor bude osazen v 1.11- informace.</w:t>
      </w:r>
    </w:p>
    <w:p w:rsidR="004E22B8" w:rsidRDefault="00416859" w:rsidP="00416859">
      <w:pPr>
        <w:widowControl/>
        <w:suppressAutoHyphens w:val="0"/>
        <w:ind w:left="360"/>
        <w:jc w:val="both"/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</w:pP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Zdi, u kterých není navržen obklad</w:t>
      </w:r>
      <w:r w:rsidR="00B43257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budou zbaveny stávající omítky. </w:t>
      </w:r>
      <w:r w:rsidR="00336620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Bude provedeno o</w:t>
      </w:r>
      <w:r w:rsidR="004E22B8" w:rsidRPr="004E22B8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dstranění stávajících svítidel a stávajícího nábytku.</w:t>
      </w:r>
    </w:p>
    <w:p w:rsidR="001224FD" w:rsidRDefault="001224FD" w:rsidP="00416859">
      <w:pPr>
        <w:widowControl/>
        <w:suppressAutoHyphens w:val="0"/>
        <w:ind w:left="360"/>
        <w:jc w:val="both"/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</w:pPr>
    </w:p>
    <w:p w:rsidR="001224FD" w:rsidRDefault="001224FD" w:rsidP="00416859">
      <w:pPr>
        <w:widowControl/>
        <w:suppressAutoHyphens w:val="0"/>
        <w:ind w:left="360"/>
        <w:jc w:val="both"/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</w:pPr>
    </w:p>
    <w:p w:rsidR="00AC2D6F" w:rsidRDefault="001224FD" w:rsidP="00336620">
      <w:pPr>
        <w:widowControl/>
        <w:suppressAutoHyphens w:val="0"/>
        <w:spacing w:line="276" w:lineRule="auto"/>
        <w:ind w:left="360"/>
        <w:jc w:val="both"/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</w:pPr>
      <w:r>
        <w:rPr>
          <w:rFonts w:ascii="Calibri" w:eastAsia="Calibri" w:hAnsi="Calibri" w:cs="Times New Roman"/>
          <w:b/>
          <w:noProof/>
          <w:kern w:val="0"/>
          <w:sz w:val="22"/>
          <w:szCs w:val="22"/>
          <w:lang w:eastAsia="en-US" w:bidi="ar-SA"/>
        </w:rPr>
        <w:t xml:space="preserve">      </w:t>
      </w:r>
      <w:r w:rsidR="00605B7B">
        <w:rPr>
          <w:rFonts w:ascii="Calibri" w:eastAsia="Calibri" w:hAnsi="Calibri" w:cs="Times New Roman"/>
          <w:b/>
          <w:noProof/>
          <w:kern w:val="0"/>
          <w:sz w:val="22"/>
          <w:szCs w:val="22"/>
          <w:lang w:eastAsia="en-US" w:bidi="ar-SA"/>
        </w:rPr>
        <w:drawing>
          <wp:inline distT="0" distB="0" distL="0" distR="0">
            <wp:extent cx="5171337" cy="2909120"/>
            <wp:effectExtent l="0" t="0" r="0" b="571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220323_104449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91271" cy="2920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1035" w:rsidRDefault="001224FD" w:rsidP="007E1035">
      <w:pPr>
        <w:widowControl/>
        <w:suppressAutoHyphens w:val="0"/>
        <w:spacing w:line="276" w:lineRule="auto"/>
        <w:ind w:left="360"/>
        <w:jc w:val="both"/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</w:pPr>
      <w:r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  <w:t xml:space="preserve">      </w:t>
      </w:r>
      <w:r w:rsidR="004571BE">
        <w:rPr>
          <w:rFonts w:ascii="Calibri" w:eastAsia="Calibri" w:hAnsi="Calibri" w:cs="Times New Roman"/>
          <w:b/>
          <w:noProof/>
          <w:kern w:val="0"/>
          <w:sz w:val="22"/>
          <w:szCs w:val="22"/>
          <w:lang w:eastAsia="en-US" w:bidi="ar-SA"/>
        </w:rPr>
        <w:drawing>
          <wp:inline distT="0" distB="0" distL="0" distR="0">
            <wp:extent cx="5191760" cy="2920608"/>
            <wp:effectExtent l="0" t="0" r="889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20220323_10363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1723" cy="2931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1035" w:rsidRDefault="007001E9" w:rsidP="00336620">
      <w:pPr>
        <w:widowControl/>
        <w:suppressAutoHyphens w:val="0"/>
        <w:spacing w:line="276" w:lineRule="auto"/>
        <w:ind w:left="360"/>
        <w:jc w:val="both"/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</w:pPr>
      <w:r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  <w:lastRenderedPageBreak/>
        <w:t xml:space="preserve">   </w:t>
      </w:r>
      <w:r w:rsidR="007E1035">
        <w:rPr>
          <w:rFonts w:ascii="Calibri" w:eastAsia="Calibri" w:hAnsi="Calibri" w:cs="Times New Roman"/>
          <w:b/>
          <w:noProof/>
          <w:kern w:val="0"/>
          <w:sz w:val="22"/>
          <w:szCs w:val="22"/>
          <w:lang w:eastAsia="en-US" w:bidi="ar-SA"/>
        </w:rPr>
        <w:drawing>
          <wp:inline distT="0" distB="0" distL="0" distR="0">
            <wp:extent cx="5410200" cy="249858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0220509_10271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1826" cy="2503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1035" w:rsidRDefault="007001E9" w:rsidP="00336620">
      <w:pPr>
        <w:widowControl/>
        <w:suppressAutoHyphens w:val="0"/>
        <w:spacing w:line="276" w:lineRule="auto"/>
        <w:ind w:left="360"/>
        <w:jc w:val="both"/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</w:pPr>
      <w:r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  <w:t xml:space="preserve">   </w:t>
      </w:r>
      <w:r w:rsidR="000D3A21">
        <w:rPr>
          <w:rFonts w:ascii="Calibri" w:eastAsia="Calibri" w:hAnsi="Calibri" w:cs="Times New Roman"/>
          <w:b/>
          <w:noProof/>
          <w:kern w:val="0"/>
          <w:sz w:val="22"/>
          <w:szCs w:val="22"/>
          <w:lang w:eastAsia="en-US" w:bidi="ar-SA"/>
        </w:rPr>
        <w:drawing>
          <wp:inline distT="0" distB="0" distL="0" distR="0">
            <wp:extent cx="5401282" cy="3038475"/>
            <wp:effectExtent l="0" t="0" r="952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220323_103638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5153" cy="3040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  <w:t xml:space="preserve">        </w:t>
      </w:r>
      <w:r>
        <w:rPr>
          <w:rFonts w:ascii="Calibri" w:eastAsia="Calibri" w:hAnsi="Calibri" w:cs="Times New Roman"/>
          <w:b/>
          <w:noProof/>
          <w:kern w:val="0"/>
          <w:sz w:val="22"/>
          <w:szCs w:val="22"/>
          <w:lang w:eastAsia="en-US" w:bidi="ar-SA"/>
        </w:rPr>
        <w:t xml:space="preserve">                                               </w:t>
      </w:r>
      <w:r w:rsidRPr="007001E9">
        <w:rPr>
          <w:rFonts w:ascii="Calibri" w:eastAsia="Calibri" w:hAnsi="Calibri" w:cs="Times New Roman"/>
          <w:b/>
          <w:noProof/>
          <w:color w:val="FFFFFF" w:themeColor="background1"/>
          <w:kern w:val="0"/>
          <w:sz w:val="22"/>
          <w:szCs w:val="22"/>
          <w:lang w:eastAsia="en-US" w:bidi="ar-SA"/>
        </w:rPr>
        <w:t>j</w:t>
      </w:r>
      <w:r>
        <w:rPr>
          <w:rFonts w:ascii="Calibri" w:eastAsia="Calibri" w:hAnsi="Calibri" w:cs="Times New Roman"/>
          <w:b/>
          <w:noProof/>
          <w:color w:val="FFFFFF" w:themeColor="background1"/>
          <w:kern w:val="0"/>
          <w:sz w:val="22"/>
          <w:szCs w:val="22"/>
          <w:lang w:eastAsia="en-US" w:bidi="ar-SA"/>
        </w:rPr>
        <w:t>j</w:t>
      </w:r>
      <w:r w:rsidRPr="007001E9">
        <w:rPr>
          <w:rFonts w:ascii="Calibri" w:eastAsia="Calibri" w:hAnsi="Calibri" w:cs="Times New Roman"/>
          <w:b/>
          <w:noProof/>
          <w:color w:val="FFFFFF" w:themeColor="background1"/>
          <w:kern w:val="0"/>
          <w:sz w:val="22"/>
          <w:szCs w:val="22"/>
          <w:lang w:eastAsia="en-US" w:bidi="ar-SA"/>
        </w:rPr>
        <w:t>j</w:t>
      </w:r>
      <w:r w:rsidR="000D3A21">
        <w:rPr>
          <w:rFonts w:ascii="Calibri" w:eastAsia="Calibri" w:hAnsi="Calibri" w:cs="Times New Roman"/>
          <w:b/>
          <w:noProof/>
          <w:kern w:val="0"/>
          <w:sz w:val="22"/>
          <w:szCs w:val="22"/>
          <w:lang w:eastAsia="en-US" w:bidi="ar-SA"/>
        </w:rPr>
        <w:drawing>
          <wp:inline distT="0" distB="0" distL="0" distR="0">
            <wp:extent cx="5384350" cy="3028950"/>
            <wp:effectExtent l="0" t="0" r="6985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220323_104455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4350" cy="302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6086" w:rsidRDefault="007001E9" w:rsidP="00336620">
      <w:pPr>
        <w:widowControl/>
        <w:suppressAutoHyphens w:val="0"/>
        <w:spacing w:line="276" w:lineRule="auto"/>
        <w:ind w:left="360"/>
        <w:jc w:val="both"/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</w:pPr>
      <w:r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  <w:t xml:space="preserve">   </w:t>
      </w:r>
    </w:p>
    <w:p w:rsidR="00916B1B" w:rsidRDefault="001224FD" w:rsidP="001224FD">
      <w:pPr>
        <w:widowControl/>
        <w:suppressAutoHyphens w:val="0"/>
        <w:spacing w:line="276" w:lineRule="auto"/>
        <w:jc w:val="both"/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</w:pPr>
      <w:r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  <w:lastRenderedPageBreak/>
        <w:t xml:space="preserve">   </w:t>
      </w:r>
      <w:r w:rsidR="007001E9"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  <w:t xml:space="preserve">        </w:t>
      </w:r>
      <w:r w:rsidR="00C507C9"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  <w:t xml:space="preserve">  </w:t>
      </w:r>
      <w:r w:rsidR="007001E9"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  <w:t xml:space="preserve"> </w:t>
      </w:r>
      <w:r w:rsidR="0079232F">
        <w:rPr>
          <w:rFonts w:ascii="Calibri" w:eastAsia="Calibri" w:hAnsi="Calibri" w:cs="Times New Roman"/>
          <w:b/>
          <w:noProof/>
          <w:kern w:val="0"/>
          <w:sz w:val="22"/>
          <w:szCs w:val="22"/>
          <w:lang w:eastAsia="en-US" w:bidi="ar-SA"/>
        </w:rPr>
        <w:drawing>
          <wp:inline distT="0" distB="0" distL="0" distR="0">
            <wp:extent cx="5076825" cy="2855953"/>
            <wp:effectExtent l="0" t="0" r="0" b="190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220323_104620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3509" cy="2870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07C9" w:rsidRDefault="00C507C9" w:rsidP="00C507C9">
      <w:pPr>
        <w:widowControl/>
        <w:suppressAutoHyphens w:val="0"/>
        <w:spacing w:line="276" w:lineRule="auto"/>
        <w:jc w:val="both"/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</w:pPr>
      <w:r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  <w:t xml:space="preserve">              </w:t>
      </w:r>
      <w:r>
        <w:rPr>
          <w:rFonts w:ascii="Calibri" w:eastAsia="Calibri" w:hAnsi="Calibri" w:cs="Times New Roman"/>
          <w:b/>
          <w:noProof/>
          <w:kern w:val="0"/>
          <w:sz w:val="22"/>
          <w:szCs w:val="22"/>
          <w:lang w:eastAsia="en-US" w:bidi="ar-SA"/>
        </w:rPr>
        <w:drawing>
          <wp:inline distT="0" distB="0" distL="0" distR="0">
            <wp:extent cx="5076825" cy="2855953"/>
            <wp:effectExtent l="0" t="0" r="0" b="190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220323_101818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16466" cy="2878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07C9" w:rsidRDefault="00C507C9" w:rsidP="00336620">
      <w:pPr>
        <w:widowControl/>
        <w:suppressAutoHyphens w:val="0"/>
        <w:spacing w:line="276" w:lineRule="auto"/>
        <w:ind w:left="360"/>
        <w:jc w:val="both"/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</w:pPr>
      <w:r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  <w:t xml:space="preserve">       </w:t>
      </w:r>
      <w:r>
        <w:rPr>
          <w:rFonts w:ascii="Calibri" w:eastAsia="Calibri" w:hAnsi="Calibri" w:cs="Times New Roman"/>
          <w:b/>
          <w:noProof/>
          <w:kern w:val="0"/>
          <w:sz w:val="22"/>
          <w:szCs w:val="22"/>
          <w:lang w:eastAsia="en-US" w:bidi="ar-SA"/>
        </w:rPr>
        <w:drawing>
          <wp:inline distT="0" distB="0" distL="0" distR="0">
            <wp:extent cx="5054617" cy="2843460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0220323_101813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1615" cy="2847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07C9" w:rsidRDefault="00C507C9" w:rsidP="00336620">
      <w:pPr>
        <w:widowControl/>
        <w:suppressAutoHyphens w:val="0"/>
        <w:spacing w:line="276" w:lineRule="auto"/>
        <w:ind w:left="360"/>
        <w:jc w:val="both"/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</w:pPr>
    </w:p>
    <w:p w:rsidR="00336620" w:rsidRDefault="00336620" w:rsidP="00336620">
      <w:pPr>
        <w:widowControl/>
        <w:suppressAutoHyphens w:val="0"/>
        <w:spacing w:line="276" w:lineRule="auto"/>
        <w:ind w:left="360"/>
        <w:jc w:val="both"/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</w:pPr>
      <w:r w:rsidRPr="00336620"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  <w:lastRenderedPageBreak/>
        <w:t>Nový stav</w:t>
      </w:r>
      <w:r w:rsidRPr="00336620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 xml:space="preserve"> </w:t>
      </w:r>
      <w:r w:rsidR="0062722F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 xml:space="preserve"> </w:t>
      </w:r>
    </w:p>
    <w:p w:rsidR="00AC2D6F" w:rsidRPr="00336620" w:rsidRDefault="0062722F" w:rsidP="00336620">
      <w:pPr>
        <w:widowControl/>
        <w:suppressAutoHyphens w:val="0"/>
        <w:spacing w:line="276" w:lineRule="auto"/>
        <w:ind w:left="360"/>
        <w:jc w:val="both"/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</w:pPr>
      <w:r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>Všechny použité materiály jsou vhodné do chráněných únikových cest a mají příslušnou klasifikaci dle reakce na oheň.</w:t>
      </w:r>
    </w:p>
    <w:p w:rsidR="004E22B8" w:rsidRDefault="00C614B3" w:rsidP="00336620">
      <w:pPr>
        <w:pStyle w:val="Odstavecseseznamem"/>
        <w:widowControl/>
        <w:numPr>
          <w:ilvl w:val="0"/>
          <w:numId w:val="2"/>
        </w:numPr>
        <w:suppressAutoHyphens w:val="0"/>
        <w:spacing w:line="276" w:lineRule="auto"/>
        <w:jc w:val="both"/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</w:pPr>
      <w:r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 xml:space="preserve">V prostoru chodby 1.02 </w:t>
      </w:r>
      <w:r w:rsidR="00336620" w:rsidRPr="00336620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 xml:space="preserve">je navržena nová slinutá dlažba </w:t>
      </w:r>
      <w:r w:rsidR="007576F7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>1200</w:t>
      </w:r>
      <w:r w:rsidR="00336620" w:rsidRPr="00336620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>/</w:t>
      </w:r>
      <w:r w:rsidR="007576F7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>1200</w:t>
      </w:r>
      <w:r w:rsidR="00336620" w:rsidRPr="00336620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 xml:space="preserve">mm v šedém odstínu (viz vizualizace) </w:t>
      </w:r>
      <w:r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 xml:space="preserve">V prostoru čekárny 1.04 je pak slinutá dlažba 200/1200mm v dekoru dřeva. </w:t>
      </w:r>
      <w:r w:rsidR="00336620" w:rsidRPr="00336620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>Pod dlažbu je navržena samonivelační hmota a separační membrána pro minimalizaci možných budoucích prasklin v dlažbě.</w:t>
      </w:r>
    </w:p>
    <w:p w:rsidR="00C614B3" w:rsidRDefault="00C614B3" w:rsidP="00336620">
      <w:pPr>
        <w:pStyle w:val="Odstavecseseznamem"/>
        <w:widowControl/>
        <w:numPr>
          <w:ilvl w:val="0"/>
          <w:numId w:val="2"/>
        </w:numPr>
        <w:suppressAutoHyphens w:val="0"/>
        <w:spacing w:line="276" w:lineRule="auto"/>
        <w:jc w:val="both"/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</w:pPr>
      <w:r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>V objednací místnosti 1.16  a v </w:t>
      </w:r>
      <w:r w:rsidRPr="00E9101C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 xml:space="preserve">místnosti 1.11 </w:t>
      </w:r>
      <w:r w:rsidR="00C7181A" w:rsidRPr="00E9101C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>–</w:t>
      </w:r>
      <w:r w:rsidRPr="00E9101C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 xml:space="preserve"> informace</w:t>
      </w:r>
      <w:r w:rsidR="00C7181A" w:rsidRPr="00E9101C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>,</w:t>
      </w:r>
      <w:r w:rsidRPr="00E9101C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 xml:space="preserve"> bude nášlapná vrstva z</w:t>
      </w:r>
      <w:r w:rsidR="00E9101C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> </w:t>
      </w:r>
      <w:r w:rsidRPr="00E9101C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>PVC</w:t>
      </w:r>
      <w:r w:rsidR="00E9101C"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  <w:t xml:space="preserve"> (reakce na oheň do třídy C)</w:t>
      </w:r>
    </w:p>
    <w:p w:rsidR="00BB0F7A" w:rsidRPr="00695079" w:rsidRDefault="00BB0F7A" w:rsidP="00BB0F7A">
      <w:pPr>
        <w:pStyle w:val="Odstavecseseznamem"/>
        <w:widowControl/>
        <w:numPr>
          <w:ilvl w:val="0"/>
          <w:numId w:val="2"/>
        </w:numPr>
        <w:suppressAutoHyphens w:val="0"/>
        <w:jc w:val="both"/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</w:pP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Čisticí zóna bude provedena v</w:t>
      </w:r>
      <w:r w:rsidR="007576F7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e třech zónách. A to v části před vstupem </w:t>
      </w:r>
      <w:r w:rsidR="00ED2DCC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(pod přístřeškem) </w:t>
      </w:r>
      <w:r w:rsidR="007576F7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s využitím celogumových rohoží v hliníkových profilech</w:t>
      </w:r>
      <w:r w:rsidR="00ED2DCC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. </w:t>
      </w: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 </w:t>
      </w:r>
      <w:r w:rsidR="00ED2DCC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Pro zachycení jemnějších nečistot bude sloužit čisticí zóna v zádveří 1.01 s hrubým kobercem a pro dočištění bude osazena čisticí zóna v </w:t>
      </w: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ploše vstupní </w:t>
      </w:r>
      <w:r w:rsidR="007576F7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chodby </w:t>
      </w: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1.0</w:t>
      </w:r>
      <w:r w:rsidR="007576F7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2</w:t>
      </w:r>
      <w:r w:rsidR="00ED2DCC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.</w:t>
      </w: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</w:t>
      </w:r>
      <w:r w:rsidR="007576F7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Čisticí zón</w:t>
      </w:r>
      <w:r w:rsidR="00ED2DCC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a</w:t>
      </w:r>
      <w:r w:rsidR="007576F7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bude</w:t>
      </w:r>
      <w:r w:rsidR="00ED2DCC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ve všech třech zónách </w:t>
      </w:r>
      <w:r w:rsidR="007576F7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provedena jako zapuštěná </w:t>
      </w:r>
      <w:r w:rsidR="00ED2DCC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v hliníkových profilech </w:t>
      </w:r>
      <w:r w:rsidR="007576F7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s</w:t>
      </w:r>
      <w:r w:rsidR="00ED2DCC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 izolovanou </w:t>
      </w:r>
      <w:r w:rsidR="007576F7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vaničkou a odvodněním</w:t>
      </w:r>
      <w:r w:rsidR="00ED2DCC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.</w:t>
      </w:r>
      <w:r w:rsidR="0062722F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Klasifikace </w:t>
      </w:r>
      <w:r w:rsidR="00C7181A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č. zón </w:t>
      </w:r>
      <w:r w:rsidR="0062722F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dle reakce na oheň je </w:t>
      </w:r>
      <w:r w:rsidR="0062722F" w:rsidRPr="0062722F">
        <w:rPr>
          <w:rFonts w:ascii="Calibri" w:eastAsia="Times New Roman" w:hAnsi="Calibri"/>
          <w:sz w:val="22"/>
          <w:szCs w:val="22"/>
        </w:rPr>
        <w:t>EN13 501-1 je Bfl-S1</w:t>
      </w:r>
      <w:r w:rsidR="0062722F">
        <w:rPr>
          <w:rFonts w:ascii="Calibri" w:eastAsia="Times New Roman" w:hAnsi="Calibri"/>
          <w:sz w:val="22"/>
          <w:szCs w:val="22"/>
        </w:rPr>
        <w:t>.</w:t>
      </w:r>
    </w:p>
    <w:p w:rsidR="00336620" w:rsidRDefault="00336620" w:rsidP="00336620">
      <w:pPr>
        <w:pStyle w:val="Odstavecseseznamem"/>
        <w:widowControl/>
        <w:numPr>
          <w:ilvl w:val="0"/>
          <w:numId w:val="2"/>
        </w:numPr>
        <w:suppressAutoHyphens w:val="0"/>
        <w:jc w:val="both"/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</w:pP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Nové stropní podhledy jsou uvažovány snížené o </w:t>
      </w:r>
      <w:r w:rsidR="00ED2DCC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1</w:t>
      </w: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00</w:t>
      </w:r>
      <w:r w:rsidR="00ED2DCC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-150</w:t>
      </w: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mm oproti stávajícímu stropu s odsazením od zdí o cca </w:t>
      </w:r>
      <w:r w:rsidR="00ED2DCC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2</w:t>
      </w: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00mm, s doplněním nepřímého osvětlení LED pásy. Hladký SDK bude doplněn akustickými odnímatelnými </w:t>
      </w:r>
      <w:r w:rsidR="00913096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kazetami</w:t>
      </w:r>
      <w:r w:rsidR="0062722F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s klasifikací dle reakce na oheň </w:t>
      </w:r>
      <w:r w:rsidR="0062722F" w:rsidRPr="0062722F">
        <w:rPr>
          <w:rFonts w:ascii="Arial" w:eastAsia="Times New Roman" w:hAnsi="Arial" w:cs="Arial"/>
          <w:sz w:val="21"/>
        </w:rPr>
        <w:t>A2-s1,d0</w:t>
      </w: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. Osvětlení v podhledu bude umístěno napříč chodby jako zapuštěné </w:t>
      </w:r>
      <w:r w:rsidR="009B712B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LED </w:t>
      </w: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pásy</w:t>
      </w:r>
      <w:r w:rsidR="009B712B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(kanály)</w:t>
      </w: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v hliníkovém rámečku.</w:t>
      </w:r>
    </w:p>
    <w:p w:rsidR="008D0226" w:rsidRDefault="003408A9" w:rsidP="00E75057">
      <w:pPr>
        <w:pStyle w:val="Odstavecseseznamem"/>
        <w:widowControl/>
        <w:numPr>
          <w:ilvl w:val="0"/>
          <w:numId w:val="2"/>
        </w:numPr>
        <w:suppressAutoHyphens w:val="0"/>
        <w:ind w:left="708"/>
        <w:jc w:val="both"/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</w:pP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Stávající hliníkové prosklené dělicí příčky </w:t>
      </w:r>
      <w:r w:rsidR="003F04A4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s dveřmi oddělující řešený prostor od navazujících chodeb </w:t>
      </w: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budou nahrazeny novými. </w:t>
      </w:r>
      <w:r w:rsidR="00DF2C2D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Nové automatické posuvné dveře č.</w:t>
      </w:r>
      <w:r w:rsidR="009B272B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</w:t>
      </w:r>
      <w:r w:rsidR="00E1028E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D10p</w:t>
      </w:r>
      <w:r w:rsidR="00DF2C2D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 a automatické otevíravé dveře č. </w:t>
      </w:r>
      <w:r w:rsidR="00E1028E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D04p</w:t>
      </w:r>
      <w:r w:rsidR="009B272B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</w:t>
      </w:r>
      <w:r w:rsidR="00DF2C2D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budou mít dle PBŘ umístěn náhradní zdroj </w:t>
      </w:r>
      <w:r w:rsidR="00E1028E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jako integrovaný nebo v samostatném PÚ</w:t>
      </w:r>
      <w:r w:rsidR="00DF2C2D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. Dveře do čekárny 1.04 a do prostoru pro inv. vozíky 1.10 budou protipožární, trvale otevřené</w:t>
      </w:r>
      <w:r w:rsidR="003F04A4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</w:t>
      </w:r>
      <w:r w:rsidR="00DF2C2D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- magnet, napojené na EPS. Dveře do objednací místnosti 1.16 budou protipožární opatřené samozavíračem. </w:t>
      </w: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O</w:t>
      </w:r>
      <w:r w:rsidRPr="00F9175D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celové zárubně </w:t>
      </w: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stávajících </w:t>
      </w:r>
      <w:r w:rsidRPr="00F9175D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dveří </w:t>
      </w:r>
      <w:r w:rsidR="008D0226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do soc. zařízení </w:t>
      </w:r>
      <w:r w:rsidRPr="00F9175D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budou </w:t>
      </w: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nahrazeny novými, včetně nového kování. Rozměry </w:t>
      </w:r>
      <w:r w:rsidR="008D0226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všech </w:t>
      </w: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dveřních křídel a požadavky na jejich požární odolnost a způsob otevírání jsou uvedeny ve výkresové příloze</w:t>
      </w:r>
      <w:r w:rsidR="000F09E1" w:rsidRPr="00F9175D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. </w:t>
      </w:r>
      <w:r w:rsidR="00E90002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Mezi m.č.</w:t>
      </w:r>
      <w:r w:rsidR="00CF67A7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1.11</w:t>
      </w:r>
      <w:r w:rsidR="00E90002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a 1.12 </w:t>
      </w:r>
      <w:r w:rsidR="00CF67A7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bude osazeno fixní protipožární okno s čirým zasklením na výšku 2100mm umožňující průnik denního světla.  </w:t>
      </w:r>
    </w:p>
    <w:p w:rsidR="003F04A4" w:rsidRPr="003F04A4" w:rsidRDefault="003F04A4" w:rsidP="00E75057">
      <w:pPr>
        <w:pStyle w:val="Odstavecseseznamem"/>
        <w:widowControl/>
        <w:numPr>
          <w:ilvl w:val="0"/>
          <w:numId w:val="2"/>
        </w:numPr>
        <w:suppressAutoHyphens w:val="0"/>
        <w:ind w:left="708"/>
        <w:jc w:val="both"/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</w:pP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Obklady stěn </w:t>
      </w:r>
      <w:r w:rsidR="00C7181A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ve vstupní chodbě 1.02 a 1.03 </w:t>
      </w: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jsou navrženy z vysoce kvalitního nehořlavého velkoformátového materiálu s klasifikací dle reakce na oheň ČSN EN 13 501-1= </w:t>
      </w:r>
      <w:r w:rsidRPr="003F04A4">
        <w:rPr>
          <w:rFonts w:asciiTheme="minorHAnsi" w:eastAsiaTheme="minorHAnsi" w:hAnsiTheme="minorHAnsi" w:cs="Calibri"/>
          <w:b/>
          <w:bCs/>
          <w:kern w:val="0"/>
          <w:sz w:val="22"/>
          <w:szCs w:val="22"/>
          <w:lang w:eastAsia="en-US" w:bidi="ar-SA"/>
        </w:rPr>
        <w:t>A2-s1, d0</w:t>
      </w:r>
      <w:r w:rsidRPr="003F04A4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, index šíření plamene po povrchu is=0 (mm.min-)1</w:t>
      </w: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. Desky mají rozměr 3580mmx1580mm, tl. 7mm, minerální jádro se zpevňujícím sklolaminátovým vláknem. Mají uzavřený neporézní povrch, oboustranný dekor odolný proti poškrábání, vlhkosti a teplu. Dále jsou odolné proti oděru, úderu a mají vysokou mechanickou odolnost. Desky jsou lepeny na podkladní kovový rošt</w:t>
      </w:r>
      <w:r w:rsidR="0062722F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speciálním polyuretanovým lepidlem (případně kotveny nýty a vruty). Navržená barevná kombinace dekorů je patrná z přiložených vizualizací.</w:t>
      </w:r>
    </w:p>
    <w:p w:rsidR="006D6CE3" w:rsidRPr="006D6CE3" w:rsidRDefault="00C7181A" w:rsidP="006D6CE3">
      <w:pPr>
        <w:pStyle w:val="Odstavecseseznamem"/>
        <w:widowControl/>
        <w:numPr>
          <w:ilvl w:val="0"/>
          <w:numId w:val="2"/>
        </w:numPr>
        <w:suppressAutoHyphens w:val="0"/>
        <w:jc w:val="both"/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</w:pP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Sociální zařízení pro klienty i personál bude vybaveno novými zařizovacími předměty, v kabině určené pro hendikepované klienty bude vybavení uzpůsobené k tomuto účelu. Na stěnách soc. zař. budou provedeny nové obklady o formátu 600/300mm.</w:t>
      </w:r>
    </w:p>
    <w:p w:rsidR="00B43257" w:rsidRDefault="00B43257" w:rsidP="00B43257">
      <w:pPr>
        <w:pStyle w:val="Odstavecseseznamem"/>
        <w:widowControl/>
        <w:numPr>
          <w:ilvl w:val="0"/>
          <w:numId w:val="2"/>
        </w:numPr>
        <w:suppressAutoHyphens w:val="0"/>
        <w:jc w:val="both"/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</w:pP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Na </w:t>
      </w:r>
      <w:r w:rsidR="00210665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všech </w:t>
      </w: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zdech</w:t>
      </w:r>
      <w:r w:rsidR="008D0226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, kro</w:t>
      </w:r>
      <w:r w:rsidR="00210665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mě zdí s obklady,</w:t>
      </w: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budou provedeny nové sádrové omítky</w:t>
      </w:r>
      <w:r w:rsidR="00210665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+ </w:t>
      </w:r>
      <w:r w:rsidR="00A3152D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omyvatelná </w:t>
      </w:r>
      <w:r w:rsidR="00210665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výmalba.</w:t>
      </w: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</w:t>
      </w:r>
    </w:p>
    <w:p w:rsidR="00210665" w:rsidRPr="00210665" w:rsidRDefault="00210665" w:rsidP="00210665">
      <w:pPr>
        <w:widowControl/>
        <w:suppressAutoHyphens w:val="0"/>
        <w:ind w:left="360"/>
        <w:jc w:val="both"/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</w:pPr>
    </w:p>
    <w:p w:rsidR="00B50262" w:rsidRPr="00B50262" w:rsidRDefault="00B50262" w:rsidP="00B50262">
      <w:pPr>
        <w:widowControl/>
        <w:suppressAutoHyphens w:val="0"/>
        <w:spacing w:line="276" w:lineRule="auto"/>
        <w:ind w:left="360"/>
        <w:jc w:val="both"/>
        <w:rPr>
          <w:rFonts w:ascii="Calibri" w:eastAsia="Calibri" w:hAnsi="Calibri" w:cs="Times New Roman"/>
          <w:bCs/>
          <w:kern w:val="0"/>
          <w:sz w:val="22"/>
          <w:szCs w:val="22"/>
          <w:lang w:eastAsia="en-US" w:bidi="ar-SA"/>
        </w:rPr>
      </w:pPr>
      <w:r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  <w:t>Interi</w:t>
      </w:r>
      <w:r w:rsidR="00E75057"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  <w:t>é</w:t>
      </w:r>
      <w:r>
        <w:rPr>
          <w:rFonts w:ascii="Calibri" w:eastAsia="Calibri" w:hAnsi="Calibri" w:cs="Times New Roman"/>
          <w:b/>
          <w:kern w:val="0"/>
          <w:sz w:val="22"/>
          <w:szCs w:val="22"/>
          <w:lang w:eastAsia="en-US" w:bidi="ar-SA"/>
        </w:rPr>
        <w:t>r</w:t>
      </w:r>
    </w:p>
    <w:p w:rsidR="00210665" w:rsidRDefault="00011FAA" w:rsidP="006C7644">
      <w:pPr>
        <w:pStyle w:val="Odstavecseseznamem"/>
        <w:widowControl/>
        <w:numPr>
          <w:ilvl w:val="0"/>
          <w:numId w:val="17"/>
        </w:numPr>
        <w:suppressAutoHyphens w:val="0"/>
        <w:jc w:val="both"/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</w:pP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Informační pult - bude proveden z</w:t>
      </w:r>
      <w:r w:rsidR="00D10690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 kompaktních desek</w:t>
      </w: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viz. výše - obklady stěn. Bude použit shodný dekor. Informační pult bude mít horní hranu podávací plochy v úrovni 1100mm.  Do 2/3 délky pultu bude umístěno </w:t>
      </w:r>
      <w:r w:rsidR="000323BA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čiré bezpečnostní sklo. Volná část (bez skla) bude sloužit ke komunikaci s klienty. Nad pultem bude umístěn nápis INFORMACE.</w:t>
      </w:r>
      <w:r w:rsidR="00CF67A7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V prostoru 1.11 nebude umístěn žádný další nábytek.</w:t>
      </w:r>
    </w:p>
    <w:p w:rsidR="00CF67A7" w:rsidRDefault="00CF67A7" w:rsidP="006C7644">
      <w:pPr>
        <w:pStyle w:val="Odstavecseseznamem"/>
        <w:widowControl/>
        <w:numPr>
          <w:ilvl w:val="0"/>
          <w:numId w:val="17"/>
        </w:numPr>
        <w:suppressAutoHyphens w:val="0"/>
        <w:jc w:val="both"/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</w:pP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lastRenderedPageBreak/>
        <w:t>V zázemí 1.12 bude umístěna malá kuchyňská linka z LTD, šatní skříň</w:t>
      </w:r>
      <w:r w:rsidR="00CD500B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+ skříň na dokumentaci</w:t>
      </w: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, a malý jídelní stůl s židlemi.</w:t>
      </w:r>
    </w:p>
    <w:p w:rsidR="000323BA" w:rsidRDefault="000323BA" w:rsidP="006C7644">
      <w:pPr>
        <w:pStyle w:val="Odstavecseseznamem"/>
        <w:widowControl/>
        <w:numPr>
          <w:ilvl w:val="0"/>
          <w:numId w:val="17"/>
        </w:numPr>
        <w:suppressAutoHyphens w:val="0"/>
        <w:jc w:val="both"/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</w:pP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V prostoru vstupní chodby 1.02 bude před objednací místností umístěna kovová dvojlavice.</w:t>
      </w:r>
    </w:p>
    <w:p w:rsidR="00970D85" w:rsidRDefault="00970D85" w:rsidP="006C7644">
      <w:pPr>
        <w:pStyle w:val="Odstavecseseznamem"/>
        <w:widowControl/>
        <w:numPr>
          <w:ilvl w:val="0"/>
          <w:numId w:val="17"/>
        </w:numPr>
        <w:suppressAutoHyphens w:val="0"/>
        <w:jc w:val="both"/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</w:pPr>
      <w:r w:rsidRPr="00210665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V prostoru </w:t>
      </w:r>
      <w:r w:rsidR="00210665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vstupní chodby 1.02 a chodby 1.03 </w:t>
      </w:r>
      <w:r w:rsidRPr="00210665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se dle PBŘ nemůže nacházet žádný </w:t>
      </w:r>
      <w:r w:rsidR="00210665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hořlavý </w:t>
      </w:r>
      <w:r w:rsidRPr="00210665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nábytek</w:t>
      </w:r>
      <w:r w:rsidR="00210665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, vzhledem k tomu, že daný prostor je CHÚC.</w:t>
      </w:r>
    </w:p>
    <w:p w:rsidR="000323BA" w:rsidRDefault="000323BA" w:rsidP="006C7644">
      <w:pPr>
        <w:pStyle w:val="Odstavecseseznamem"/>
        <w:widowControl/>
        <w:numPr>
          <w:ilvl w:val="0"/>
          <w:numId w:val="17"/>
        </w:numPr>
        <w:suppressAutoHyphens w:val="0"/>
        <w:jc w:val="both"/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</w:pP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V objednací místnosti 1.16 bude umístěn pracovní stůl </w:t>
      </w:r>
      <w:r w:rsidR="00CF67A7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z</w:t>
      </w:r>
      <w:r w:rsidR="007001E9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 </w:t>
      </w:r>
      <w:r w:rsidR="00CF67A7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LTD</w:t>
      </w:r>
      <w:r w:rsidR="007001E9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a kompaktních desek (část pro klienty)</w:t>
      </w:r>
      <w:r w:rsidR="00CF67A7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</w:t>
      </w: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a židle pro 2 zaměstnance s čelní krycí deskou z plexiskla. V části pro klienty budou umístěny 2 klientské židle oddělené paravánem.</w:t>
      </w:r>
      <w:r w:rsidR="00CF67A7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Zaměstnanci budou mít k dispozici komodu a 2ks nízkých skříněk (materiál LTD).</w:t>
      </w:r>
    </w:p>
    <w:p w:rsidR="000323BA" w:rsidRPr="00210665" w:rsidRDefault="000323BA" w:rsidP="006C7644">
      <w:pPr>
        <w:pStyle w:val="Odstavecseseznamem"/>
        <w:widowControl/>
        <w:numPr>
          <w:ilvl w:val="0"/>
          <w:numId w:val="17"/>
        </w:numPr>
        <w:suppressAutoHyphens w:val="0"/>
        <w:jc w:val="both"/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</w:pP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V čekárně 1.04 budou umístěny čalouněné lavice pro klienty </w:t>
      </w:r>
      <w:r w:rsidR="00CD500B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(kovová k-ce + plastová skořepina) </w:t>
      </w: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a konferenční stolek.</w:t>
      </w:r>
    </w:p>
    <w:p w:rsidR="00B50262" w:rsidRDefault="00210665" w:rsidP="00B50262">
      <w:pPr>
        <w:pStyle w:val="Odstavecseseznamem"/>
        <w:widowControl/>
        <w:numPr>
          <w:ilvl w:val="0"/>
          <w:numId w:val="17"/>
        </w:numPr>
        <w:suppressAutoHyphens w:val="0"/>
        <w:jc w:val="both"/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</w:pPr>
      <w:r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V řešeném prostoru</w:t>
      </w:r>
      <w:r w:rsidR="00970D85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</w:t>
      </w:r>
      <w:r w:rsidR="00B50262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bude umístěn nový informační systém</w:t>
      </w:r>
      <w:r w:rsidR="000323BA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, </w:t>
      </w:r>
      <w:r w:rsidR="00B50262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který bude barevně odpovídat </w:t>
      </w:r>
      <w:r w:rsidR="000323BA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jednotnému vizuálnímu stylu nemocnice</w:t>
      </w:r>
      <w:r w:rsidR="00B50262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.  Hlavní informační panel </w:t>
      </w:r>
      <w:r w:rsidR="000323BA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bude</w:t>
      </w:r>
      <w:r w:rsidR="00B50262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 umístěn </w:t>
      </w:r>
      <w:r w:rsidR="000323BA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>v chodbě 1.03</w:t>
      </w:r>
      <w:r w:rsidR="00B50262"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  <w:t xml:space="preserve">. Informační panely budou zavěšeny i z podhledu. </w:t>
      </w:r>
    </w:p>
    <w:p w:rsidR="00310C01" w:rsidRDefault="00310C01" w:rsidP="00310C01">
      <w:pPr>
        <w:widowControl/>
        <w:suppressAutoHyphens w:val="0"/>
        <w:jc w:val="both"/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</w:pPr>
    </w:p>
    <w:p w:rsidR="00310C01" w:rsidRPr="00310C01" w:rsidRDefault="00310C01" w:rsidP="00310C01">
      <w:pPr>
        <w:widowControl/>
        <w:suppressAutoHyphens w:val="0"/>
        <w:jc w:val="both"/>
        <w:rPr>
          <w:rFonts w:asciiTheme="minorHAnsi" w:eastAsiaTheme="minorHAnsi" w:hAnsiTheme="minorHAnsi" w:cs="Calibri"/>
          <w:kern w:val="0"/>
          <w:sz w:val="22"/>
          <w:szCs w:val="22"/>
          <w:lang w:eastAsia="en-US" w:bidi="ar-SA"/>
        </w:rPr>
      </w:pPr>
    </w:p>
    <w:p w:rsidR="00B50262" w:rsidRPr="0067210D" w:rsidRDefault="00B50262" w:rsidP="0067210D">
      <w:pPr>
        <w:widowControl/>
        <w:suppressAutoHyphens w:val="0"/>
        <w:ind w:left="360"/>
        <w:jc w:val="both"/>
        <w:rPr>
          <w:rFonts w:asciiTheme="minorHAnsi" w:eastAsiaTheme="minorHAnsi" w:hAnsiTheme="minorHAnsi" w:cs="Calibri"/>
          <w:color w:val="FF0000"/>
          <w:kern w:val="0"/>
          <w:sz w:val="22"/>
          <w:szCs w:val="22"/>
          <w:lang w:eastAsia="en-US" w:bidi="ar-SA"/>
        </w:rPr>
      </w:pPr>
    </w:p>
    <w:p w:rsidR="00C22755" w:rsidRPr="00C22755" w:rsidRDefault="007001E9" w:rsidP="00C22755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</w:pPr>
      <w:r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 xml:space="preserve">           </w:t>
      </w:r>
      <w:r>
        <w:rPr>
          <w:rFonts w:asciiTheme="minorHAnsi" w:eastAsia="Calibri" w:hAnsiTheme="minorHAnsi" w:cs="Times New Roman"/>
          <w:bCs/>
          <w:noProof/>
          <w:kern w:val="0"/>
          <w:sz w:val="22"/>
          <w:szCs w:val="22"/>
          <w:lang w:eastAsia="en-US" w:bidi="ar-SA"/>
        </w:rPr>
        <w:drawing>
          <wp:inline distT="0" distB="0" distL="0" distR="0">
            <wp:extent cx="5389751" cy="3657600"/>
            <wp:effectExtent l="0" t="0" r="1905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er_06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4387" cy="3674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2755" w:rsidRPr="00C22755" w:rsidRDefault="00C22755" w:rsidP="00C22755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</w:pPr>
    </w:p>
    <w:p w:rsidR="00824B37" w:rsidRDefault="00824B37" w:rsidP="0031262B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</w:pPr>
    </w:p>
    <w:p w:rsidR="00824B37" w:rsidRDefault="00824B37" w:rsidP="0031262B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</w:pPr>
    </w:p>
    <w:p w:rsidR="00824B37" w:rsidRDefault="00824B37" w:rsidP="0031262B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</w:pPr>
    </w:p>
    <w:p w:rsidR="00824B37" w:rsidRDefault="00824B37" w:rsidP="0031262B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</w:pPr>
    </w:p>
    <w:p w:rsidR="00824B37" w:rsidRDefault="00824B37" w:rsidP="0031262B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</w:pPr>
    </w:p>
    <w:p w:rsidR="00824B37" w:rsidRDefault="00824B37" w:rsidP="0031262B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</w:pPr>
    </w:p>
    <w:p w:rsidR="00824B37" w:rsidRDefault="00824B37" w:rsidP="0031262B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</w:pPr>
    </w:p>
    <w:p w:rsidR="00824B37" w:rsidRDefault="00824B37" w:rsidP="0031262B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</w:pPr>
    </w:p>
    <w:p w:rsidR="00824B37" w:rsidRDefault="00824B37" w:rsidP="0031262B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</w:pPr>
    </w:p>
    <w:p w:rsidR="00824B37" w:rsidRPr="00824B37" w:rsidRDefault="00824B37" w:rsidP="0031262B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/>
          <w:kern w:val="0"/>
          <w:sz w:val="28"/>
          <w:szCs w:val="28"/>
          <w:lang w:eastAsia="en-US" w:bidi="ar-SA"/>
        </w:rPr>
      </w:pPr>
      <w:bookmarkStart w:id="0" w:name="_GoBack"/>
      <w:bookmarkEnd w:id="0"/>
      <w:r w:rsidRPr="00824B37">
        <w:rPr>
          <w:rFonts w:asciiTheme="minorHAnsi" w:eastAsia="Calibri" w:hAnsiTheme="minorHAnsi" w:cs="Times New Roman"/>
          <w:b/>
          <w:kern w:val="0"/>
          <w:sz w:val="28"/>
          <w:szCs w:val="28"/>
          <w:lang w:eastAsia="en-US" w:bidi="ar-SA"/>
        </w:rPr>
        <w:lastRenderedPageBreak/>
        <w:t>NAVRŽENÉ MATERIÁLY:</w:t>
      </w:r>
    </w:p>
    <w:p w:rsidR="00824B37" w:rsidRDefault="00824B37" w:rsidP="0031262B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/>
          <w:kern w:val="0"/>
          <w:sz w:val="22"/>
          <w:szCs w:val="22"/>
          <w:lang w:eastAsia="en-US" w:bidi="ar-SA"/>
        </w:rPr>
      </w:pPr>
    </w:p>
    <w:p w:rsidR="00824B37" w:rsidRDefault="00824B37" w:rsidP="0031262B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/>
          <w:kern w:val="0"/>
          <w:sz w:val="22"/>
          <w:szCs w:val="22"/>
          <w:lang w:eastAsia="en-US" w:bidi="ar-SA"/>
        </w:rPr>
      </w:pPr>
      <w:r>
        <w:rPr>
          <w:rFonts w:asciiTheme="minorHAnsi" w:eastAsia="Calibri" w:hAnsiTheme="minorHAnsi" w:cs="Times New Roman"/>
          <w:b/>
          <w:kern w:val="0"/>
          <w:sz w:val="22"/>
          <w:szCs w:val="22"/>
          <w:lang w:eastAsia="en-US" w:bidi="ar-SA"/>
        </w:rPr>
        <w:t>Obklady stěn</w:t>
      </w:r>
    </w:p>
    <w:p w:rsidR="00824B37" w:rsidRPr="00824B37" w:rsidRDefault="00824B37" w:rsidP="0031262B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/>
          <w:kern w:val="0"/>
          <w:sz w:val="22"/>
          <w:szCs w:val="22"/>
          <w:lang w:eastAsia="en-US" w:bidi="ar-SA"/>
        </w:rPr>
      </w:pPr>
    </w:p>
    <w:p w:rsidR="00824B37" w:rsidRDefault="00824B37" w:rsidP="0031262B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</w:pPr>
      <w:r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>Obklad – kompaktní deska, tl. 7mm</w:t>
      </w:r>
      <w:r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ab/>
      </w:r>
      <w:r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ab/>
      </w:r>
      <w:r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ab/>
        <w:t xml:space="preserve">  </w:t>
      </w:r>
      <w:r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>Obklad – kompaktní deska</w:t>
      </w:r>
      <w:r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>, tl. 7mm</w:t>
      </w:r>
    </w:p>
    <w:p w:rsidR="00824B37" w:rsidRDefault="00824B37" w:rsidP="0031262B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</w:pPr>
      <w:r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 xml:space="preserve">dekor dřevo                       </w:t>
      </w:r>
      <w:r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ab/>
      </w:r>
      <w:r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ab/>
      </w:r>
      <w:r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ab/>
      </w:r>
      <w:r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ab/>
        <w:t xml:space="preserve"> </w:t>
      </w:r>
      <w:r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 xml:space="preserve"> dekor šedá</w:t>
      </w:r>
    </w:p>
    <w:p w:rsidR="00824B37" w:rsidRDefault="00824B37" w:rsidP="0031262B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</w:pPr>
      <w:r>
        <w:rPr>
          <w:rFonts w:asciiTheme="minorHAnsi" w:eastAsia="Calibri" w:hAnsiTheme="minorHAnsi" w:cs="Times New Roman"/>
          <w:bCs/>
          <w:noProof/>
          <w:kern w:val="0"/>
          <w:sz w:val="22"/>
          <w:szCs w:val="22"/>
          <w:lang w:eastAsia="en-US" w:bidi="ar-SA"/>
        </w:rPr>
        <w:drawing>
          <wp:inline distT="0" distB="0" distL="0" distR="0">
            <wp:extent cx="2247900" cy="4841012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klad_drevo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2243" cy="4871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 xml:space="preserve">                       </w:t>
      </w:r>
      <w:r>
        <w:rPr>
          <w:rFonts w:asciiTheme="minorHAnsi" w:eastAsia="Calibri" w:hAnsiTheme="minorHAnsi" w:cs="Times New Roman"/>
          <w:bCs/>
          <w:noProof/>
          <w:kern w:val="0"/>
          <w:sz w:val="22"/>
          <w:szCs w:val="22"/>
          <w:lang w:eastAsia="en-US" w:bidi="ar-SA"/>
        </w:rPr>
        <w:drawing>
          <wp:inline distT="0" distB="0" distL="0" distR="0">
            <wp:extent cx="4852988" cy="2264693"/>
            <wp:effectExtent l="0" t="1270" r="3810" b="381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klad seda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876773" cy="2275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4B37" w:rsidRDefault="00824B37" w:rsidP="0031262B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</w:pPr>
    </w:p>
    <w:p w:rsidR="00824B37" w:rsidRDefault="00310C01" w:rsidP="0031262B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</w:pPr>
      <w:r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>LTD - nábytek</w:t>
      </w:r>
    </w:p>
    <w:p w:rsidR="00824B37" w:rsidRDefault="00310C01" w:rsidP="0031262B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</w:pPr>
      <w:r>
        <w:rPr>
          <w:rFonts w:asciiTheme="minorHAnsi" w:eastAsia="Calibri" w:hAnsiTheme="minorHAnsi" w:cs="Times New Roman"/>
          <w:bCs/>
          <w:noProof/>
          <w:kern w:val="0"/>
          <w:sz w:val="22"/>
          <w:szCs w:val="22"/>
          <w:lang w:eastAsia="en-US" w:bidi="ar-SA"/>
        </w:rPr>
        <w:drawing>
          <wp:inline distT="0" distB="0" distL="0" distR="0">
            <wp:extent cx="2257425" cy="2257425"/>
            <wp:effectExtent l="0" t="0" r="9525" b="9525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LTD_šedá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7425" cy="225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4B37" w:rsidRDefault="00824B37" w:rsidP="00824B37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/>
          <w:kern w:val="0"/>
          <w:sz w:val="22"/>
          <w:szCs w:val="22"/>
          <w:lang w:eastAsia="en-US" w:bidi="ar-SA"/>
        </w:rPr>
      </w:pPr>
      <w:r>
        <w:rPr>
          <w:rFonts w:asciiTheme="minorHAnsi" w:eastAsia="Calibri" w:hAnsiTheme="minorHAnsi" w:cs="Times New Roman"/>
          <w:b/>
          <w:kern w:val="0"/>
          <w:sz w:val="22"/>
          <w:szCs w:val="22"/>
          <w:lang w:eastAsia="en-US" w:bidi="ar-SA"/>
        </w:rPr>
        <w:lastRenderedPageBreak/>
        <w:t>Dlažby</w:t>
      </w:r>
      <w:r w:rsidR="00310C01">
        <w:rPr>
          <w:rFonts w:asciiTheme="minorHAnsi" w:eastAsia="Calibri" w:hAnsiTheme="minorHAnsi" w:cs="Times New Roman"/>
          <w:b/>
          <w:kern w:val="0"/>
          <w:sz w:val="22"/>
          <w:szCs w:val="22"/>
          <w:lang w:eastAsia="en-US" w:bidi="ar-SA"/>
        </w:rPr>
        <w:t>, obklady</w:t>
      </w:r>
    </w:p>
    <w:p w:rsidR="00824B37" w:rsidRDefault="00824B37" w:rsidP="00824B37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/>
          <w:kern w:val="0"/>
          <w:sz w:val="22"/>
          <w:szCs w:val="22"/>
          <w:lang w:eastAsia="en-US" w:bidi="ar-SA"/>
        </w:rPr>
      </w:pPr>
    </w:p>
    <w:p w:rsidR="00824B37" w:rsidRDefault="00824B37" w:rsidP="00824B37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/>
          <w:kern w:val="0"/>
          <w:sz w:val="22"/>
          <w:szCs w:val="22"/>
          <w:lang w:eastAsia="en-US" w:bidi="ar-SA"/>
        </w:rPr>
      </w:pPr>
    </w:p>
    <w:p w:rsidR="00824B37" w:rsidRDefault="00824B37" w:rsidP="00824B37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</w:pPr>
      <w:r w:rsidRPr="00824B37"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>Velkoformátová slinutá dlažba 1200/1200mm</w:t>
      </w:r>
      <w:r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>,                                         Slinutá dlažba 1200/200mm</w:t>
      </w:r>
    </w:p>
    <w:p w:rsidR="00824B37" w:rsidRPr="00824B37" w:rsidRDefault="00824B37" w:rsidP="00824B37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</w:pPr>
      <w:r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>dekor cement</w:t>
      </w:r>
      <w:r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ab/>
      </w:r>
      <w:r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ab/>
      </w:r>
      <w:r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ab/>
      </w:r>
      <w:r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ab/>
      </w:r>
      <w:r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ab/>
      </w:r>
      <w:r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ab/>
      </w:r>
      <w:r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ab/>
        <w:t xml:space="preserve">    dekor dřevo</w:t>
      </w:r>
    </w:p>
    <w:p w:rsidR="00824B37" w:rsidRDefault="00824B37" w:rsidP="00824B37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/>
          <w:kern w:val="0"/>
          <w:sz w:val="22"/>
          <w:szCs w:val="22"/>
          <w:lang w:eastAsia="en-US" w:bidi="ar-SA"/>
        </w:rPr>
      </w:pPr>
      <w:r>
        <w:rPr>
          <w:rFonts w:asciiTheme="minorHAnsi" w:eastAsia="Calibri" w:hAnsiTheme="minorHAnsi" w:cs="Times New Roman"/>
          <w:b/>
          <w:noProof/>
          <w:kern w:val="0"/>
          <w:sz w:val="22"/>
          <w:szCs w:val="22"/>
          <w:lang w:eastAsia="en-US" w:bidi="ar-SA"/>
        </w:rPr>
        <w:drawing>
          <wp:inline distT="0" distB="0" distL="0" distR="0">
            <wp:extent cx="3276600" cy="3276600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ingio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6600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eastAsia="Calibri" w:hAnsiTheme="minorHAnsi" w:cs="Times New Roman"/>
          <w:b/>
          <w:noProof/>
          <w:kern w:val="0"/>
          <w:sz w:val="22"/>
          <w:szCs w:val="22"/>
          <w:lang w:eastAsia="en-US" w:bidi="ar-SA"/>
        </w:rPr>
        <w:t xml:space="preserve">                         </w:t>
      </w:r>
      <w:r>
        <w:rPr>
          <w:rFonts w:asciiTheme="minorHAnsi" w:eastAsia="Calibri" w:hAnsiTheme="minorHAnsi" w:cs="Times New Roman"/>
          <w:b/>
          <w:noProof/>
          <w:kern w:val="0"/>
          <w:sz w:val="22"/>
          <w:szCs w:val="22"/>
          <w:lang w:eastAsia="en-US" w:bidi="ar-SA"/>
        </w:rPr>
        <w:drawing>
          <wp:inline distT="0" distB="0" distL="0" distR="0">
            <wp:extent cx="548305" cy="3263265"/>
            <wp:effectExtent l="0" t="0" r="4445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oak2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62" cy="3411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eastAsia="Calibri" w:hAnsiTheme="minorHAnsi" w:cs="Times New Roman"/>
          <w:b/>
          <w:noProof/>
          <w:kern w:val="0"/>
          <w:sz w:val="22"/>
          <w:szCs w:val="22"/>
          <w:lang w:eastAsia="en-US" w:bidi="ar-SA"/>
        </w:rPr>
        <w:t xml:space="preserve">    </w:t>
      </w:r>
      <w:r>
        <w:rPr>
          <w:rFonts w:asciiTheme="minorHAnsi" w:eastAsia="Calibri" w:hAnsiTheme="minorHAnsi" w:cs="Times New Roman"/>
          <w:b/>
          <w:noProof/>
          <w:kern w:val="0"/>
          <w:sz w:val="22"/>
          <w:szCs w:val="22"/>
          <w:lang w:eastAsia="en-US" w:bidi="ar-SA"/>
        </w:rPr>
        <w:drawing>
          <wp:inline distT="0" distB="0" distL="0" distR="0">
            <wp:extent cx="540149" cy="3263265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ak1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804" cy="3375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4B37" w:rsidRDefault="00824B37" w:rsidP="0031262B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</w:pPr>
    </w:p>
    <w:p w:rsidR="00310C01" w:rsidRDefault="00310C01" w:rsidP="0031262B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</w:pPr>
    </w:p>
    <w:p w:rsidR="00310C01" w:rsidRDefault="00310C01" w:rsidP="0031262B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</w:pPr>
    </w:p>
    <w:p w:rsidR="00824B37" w:rsidRDefault="00824B37" w:rsidP="00824B37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</w:pPr>
      <w:r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 xml:space="preserve">Slinutá dlažba 600/600mm           </w:t>
      </w:r>
      <w:r w:rsidR="00310C01"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ab/>
        <w:t xml:space="preserve">            Čisticí zóna</w:t>
      </w:r>
    </w:p>
    <w:p w:rsidR="00824B37" w:rsidRDefault="00824B37" w:rsidP="0031262B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</w:pPr>
      <w:r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>Dekor cement</w:t>
      </w:r>
    </w:p>
    <w:p w:rsidR="00824B37" w:rsidRDefault="00824B37" w:rsidP="0031262B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</w:pPr>
      <w:r>
        <w:rPr>
          <w:rFonts w:asciiTheme="minorHAnsi" w:eastAsia="Calibri" w:hAnsiTheme="minorHAnsi" w:cs="Times New Roman"/>
          <w:b/>
          <w:noProof/>
          <w:kern w:val="0"/>
          <w:sz w:val="22"/>
          <w:szCs w:val="22"/>
          <w:lang w:eastAsia="en-US" w:bidi="ar-SA"/>
        </w:rPr>
        <w:drawing>
          <wp:inline distT="0" distB="0" distL="0" distR="0" wp14:anchorId="3010C625" wp14:editId="0E8E4160">
            <wp:extent cx="1685925" cy="1685925"/>
            <wp:effectExtent l="0" t="0" r="9525" b="9525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ingio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eastAsia="Calibri" w:hAnsiTheme="minorHAnsi" w:cs="Times New Roman"/>
          <w:b/>
          <w:noProof/>
          <w:kern w:val="0"/>
          <w:sz w:val="22"/>
          <w:szCs w:val="22"/>
          <w:lang w:eastAsia="en-US" w:bidi="ar-SA"/>
        </w:rPr>
        <w:t xml:space="preserve">     </w:t>
      </w:r>
      <w:r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 xml:space="preserve">       </w:t>
      </w:r>
      <w:r w:rsidR="00310C01">
        <w:rPr>
          <w:rFonts w:asciiTheme="minorHAnsi" w:eastAsia="Calibri" w:hAnsiTheme="minorHAnsi" w:cs="Times New Roman"/>
          <w:bCs/>
          <w:noProof/>
          <w:kern w:val="0"/>
          <w:sz w:val="22"/>
          <w:szCs w:val="22"/>
          <w:lang w:eastAsia="en-US" w:bidi="ar-SA"/>
        </w:rPr>
        <w:t xml:space="preserve">          </w:t>
      </w:r>
      <w:r w:rsidR="00310C01">
        <w:rPr>
          <w:rFonts w:asciiTheme="minorHAnsi" w:eastAsia="Calibri" w:hAnsiTheme="minorHAnsi" w:cs="Times New Roman"/>
          <w:bCs/>
          <w:noProof/>
          <w:kern w:val="0"/>
          <w:sz w:val="22"/>
          <w:szCs w:val="22"/>
          <w:lang w:eastAsia="en-US" w:bidi="ar-SA"/>
        </w:rPr>
        <w:drawing>
          <wp:inline distT="0" distB="0" distL="0" distR="0">
            <wp:extent cx="2875701" cy="1905000"/>
            <wp:effectExtent l="0" t="0" r="127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ZONA2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180" cy="1917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0C01" w:rsidRDefault="00310C01" w:rsidP="00310C01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</w:pPr>
      <w:r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 xml:space="preserve">Obklad stěn (soc. zař) </w:t>
      </w:r>
    </w:p>
    <w:p w:rsidR="00310C01" w:rsidRDefault="00310C01" w:rsidP="00310C01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</w:pPr>
      <w:r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>300/600mm</w:t>
      </w:r>
    </w:p>
    <w:p w:rsidR="00824B37" w:rsidRDefault="00310C01" w:rsidP="0031262B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</w:pPr>
      <w:r>
        <w:rPr>
          <w:rFonts w:asciiTheme="minorHAnsi" w:eastAsia="Calibri" w:hAnsiTheme="minorHAnsi" w:cs="Times New Roman"/>
          <w:b/>
          <w:noProof/>
          <w:kern w:val="0"/>
          <w:sz w:val="22"/>
          <w:szCs w:val="22"/>
          <w:lang w:eastAsia="en-US" w:bidi="ar-SA"/>
        </w:rPr>
        <w:drawing>
          <wp:inline distT="0" distB="0" distL="0" distR="0" wp14:anchorId="59C32251" wp14:editId="2E086953">
            <wp:extent cx="1685925" cy="790575"/>
            <wp:effectExtent l="0" t="0" r="9525" b="9525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ingio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0C01">
        <w:rPr>
          <w:rFonts w:asciiTheme="minorHAnsi" w:eastAsia="Calibri" w:hAnsiTheme="minorHAnsi" w:cs="Times New Roman"/>
          <w:bCs/>
          <w:noProof/>
          <w:kern w:val="0"/>
          <w:sz w:val="22"/>
          <w:szCs w:val="22"/>
          <w:lang w:eastAsia="en-US" w:bidi="ar-SA"/>
        </w:rPr>
        <w:t xml:space="preserve"> </w:t>
      </w:r>
      <w:r>
        <w:rPr>
          <w:rFonts w:asciiTheme="minorHAnsi" w:eastAsia="Calibri" w:hAnsiTheme="minorHAnsi" w:cs="Times New Roman"/>
          <w:bCs/>
          <w:noProof/>
          <w:kern w:val="0"/>
          <w:sz w:val="22"/>
          <w:szCs w:val="22"/>
          <w:lang w:eastAsia="en-US" w:bidi="ar-SA"/>
        </w:rPr>
        <w:t xml:space="preserve">          </w:t>
      </w:r>
    </w:p>
    <w:p w:rsidR="00824B37" w:rsidRDefault="00824B37" w:rsidP="0031262B">
      <w:pPr>
        <w:widowControl/>
        <w:suppressAutoHyphens w:val="0"/>
        <w:spacing w:line="276" w:lineRule="auto"/>
        <w:ind w:left="360"/>
        <w:jc w:val="both"/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</w:pPr>
    </w:p>
    <w:p w:rsidR="00F30DDA" w:rsidRDefault="00310C01" w:rsidP="002D1F8F">
      <w:pPr>
        <w:widowControl/>
        <w:suppressAutoHyphens w:val="0"/>
        <w:spacing w:line="276" w:lineRule="auto"/>
        <w:ind w:left="360"/>
        <w:jc w:val="both"/>
        <w:rPr>
          <w:rFonts w:asciiTheme="minorHAnsi" w:hAnsiTheme="minorHAnsi" w:cs="Arial"/>
          <w:color w:val="FF0000"/>
          <w:sz w:val="22"/>
          <w:szCs w:val="22"/>
        </w:rPr>
      </w:pPr>
      <w:r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>V</w:t>
      </w:r>
      <w:r w:rsidR="00141514" w:rsidRPr="0031262B">
        <w:rPr>
          <w:rFonts w:asciiTheme="minorHAnsi" w:eastAsia="Calibri" w:hAnsiTheme="minorHAnsi" w:cs="Times New Roman"/>
          <w:bCs/>
          <w:kern w:val="0"/>
          <w:sz w:val="22"/>
          <w:szCs w:val="22"/>
          <w:lang w:eastAsia="en-US" w:bidi="ar-SA"/>
        </w:rPr>
        <w:t>ypracovala: Ing.arch. Petra Švančarová</w:t>
      </w:r>
    </w:p>
    <w:sectPr w:rsidR="00F30DDA" w:rsidSect="00244D2E">
      <w:pgSz w:w="11906" w:h="16838"/>
      <w:pgMar w:top="1417" w:right="1417" w:bottom="1417" w:left="11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637AD" w:rsidRDefault="00F637AD" w:rsidP="0091049E">
      <w:r>
        <w:separator/>
      </w:r>
    </w:p>
  </w:endnote>
  <w:endnote w:type="continuationSeparator" w:id="0">
    <w:p w:rsidR="00F637AD" w:rsidRDefault="00F637AD" w:rsidP="0091049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637AD" w:rsidRDefault="00F637AD" w:rsidP="0091049E">
      <w:r>
        <w:separator/>
      </w:r>
    </w:p>
  </w:footnote>
  <w:footnote w:type="continuationSeparator" w:id="0">
    <w:p w:rsidR="00F637AD" w:rsidRDefault="00F637AD" w:rsidP="0091049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2D2D0D"/>
    <w:multiLevelType w:val="hybridMultilevel"/>
    <w:tmpl w:val="E8C0C10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8D5A6C"/>
    <w:multiLevelType w:val="hybridMultilevel"/>
    <w:tmpl w:val="9FFCECBE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3D537F"/>
    <w:multiLevelType w:val="hybridMultilevel"/>
    <w:tmpl w:val="C80AE36E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BF4F37"/>
    <w:multiLevelType w:val="hybridMultilevel"/>
    <w:tmpl w:val="4A308052"/>
    <w:lvl w:ilvl="0" w:tplc="04050011">
      <w:start w:val="1"/>
      <w:numFmt w:val="decimal"/>
      <w:lvlText w:val="%1)"/>
      <w:lvlJc w:val="left"/>
      <w:pPr>
        <w:ind w:left="1428" w:hanging="360"/>
      </w:pPr>
    </w:lvl>
    <w:lvl w:ilvl="1" w:tplc="04050019" w:tentative="1">
      <w:start w:val="1"/>
      <w:numFmt w:val="lowerLetter"/>
      <w:lvlText w:val="%2."/>
      <w:lvlJc w:val="left"/>
      <w:pPr>
        <w:ind w:left="2148" w:hanging="360"/>
      </w:pPr>
    </w:lvl>
    <w:lvl w:ilvl="2" w:tplc="0405001B" w:tentative="1">
      <w:start w:val="1"/>
      <w:numFmt w:val="lowerRoman"/>
      <w:lvlText w:val="%3."/>
      <w:lvlJc w:val="right"/>
      <w:pPr>
        <w:ind w:left="2868" w:hanging="180"/>
      </w:pPr>
    </w:lvl>
    <w:lvl w:ilvl="3" w:tplc="0405000F" w:tentative="1">
      <w:start w:val="1"/>
      <w:numFmt w:val="decimal"/>
      <w:lvlText w:val="%4."/>
      <w:lvlJc w:val="left"/>
      <w:pPr>
        <w:ind w:left="3588" w:hanging="360"/>
      </w:pPr>
    </w:lvl>
    <w:lvl w:ilvl="4" w:tplc="04050019" w:tentative="1">
      <w:start w:val="1"/>
      <w:numFmt w:val="lowerLetter"/>
      <w:lvlText w:val="%5."/>
      <w:lvlJc w:val="left"/>
      <w:pPr>
        <w:ind w:left="4308" w:hanging="360"/>
      </w:pPr>
    </w:lvl>
    <w:lvl w:ilvl="5" w:tplc="0405001B" w:tentative="1">
      <w:start w:val="1"/>
      <w:numFmt w:val="lowerRoman"/>
      <w:lvlText w:val="%6."/>
      <w:lvlJc w:val="right"/>
      <w:pPr>
        <w:ind w:left="5028" w:hanging="180"/>
      </w:pPr>
    </w:lvl>
    <w:lvl w:ilvl="6" w:tplc="0405000F" w:tentative="1">
      <w:start w:val="1"/>
      <w:numFmt w:val="decimal"/>
      <w:lvlText w:val="%7."/>
      <w:lvlJc w:val="left"/>
      <w:pPr>
        <w:ind w:left="5748" w:hanging="360"/>
      </w:pPr>
    </w:lvl>
    <w:lvl w:ilvl="7" w:tplc="04050019" w:tentative="1">
      <w:start w:val="1"/>
      <w:numFmt w:val="lowerLetter"/>
      <w:lvlText w:val="%8."/>
      <w:lvlJc w:val="left"/>
      <w:pPr>
        <w:ind w:left="6468" w:hanging="360"/>
      </w:pPr>
    </w:lvl>
    <w:lvl w:ilvl="8" w:tplc="040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" w15:restartNumberingAfterBreak="0">
    <w:nsid w:val="18150C8E"/>
    <w:multiLevelType w:val="hybridMultilevel"/>
    <w:tmpl w:val="E2F2FB38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1E75CC3"/>
    <w:multiLevelType w:val="hybridMultilevel"/>
    <w:tmpl w:val="A8F0A494"/>
    <w:lvl w:ilvl="0" w:tplc="3DA69BD0">
      <w:start w:val="1"/>
      <w:numFmt w:val="decimal"/>
      <w:lvlText w:val="%1)"/>
      <w:lvlJc w:val="left"/>
      <w:pPr>
        <w:ind w:left="786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298" w:hanging="360"/>
      </w:pPr>
    </w:lvl>
    <w:lvl w:ilvl="2" w:tplc="0405001B" w:tentative="1">
      <w:start w:val="1"/>
      <w:numFmt w:val="lowerRoman"/>
      <w:lvlText w:val="%3."/>
      <w:lvlJc w:val="right"/>
      <w:pPr>
        <w:ind w:left="2018" w:hanging="180"/>
      </w:pPr>
    </w:lvl>
    <w:lvl w:ilvl="3" w:tplc="0405000F" w:tentative="1">
      <w:start w:val="1"/>
      <w:numFmt w:val="decimal"/>
      <w:lvlText w:val="%4."/>
      <w:lvlJc w:val="left"/>
      <w:pPr>
        <w:ind w:left="2738" w:hanging="360"/>
      </w:pPr>
    </w:lvl>
    <w:lvl w:ilvl="4" w:tplc="04050019" w:tentative="1">
      <w:start w:val="1"/>
      <w:numFmt w:val="lowerLetter"/>
      <w:lvlText w:val="%5."/>
      <w:lvlJc w:val="left"/>
      <w:pPr>
        <w:ind w:left="3458" w:hanging="360"/>
      </w:pPr>
    </w:lvl>
    <w:lvl w:ilvl="5" w:tplc="0405001B" w:tentative="1">
      <w:start w:val="1"/>
      <w:numFmt w:val="lowerRoman"/>
      <w:lvlText w:val="%6."/>
      <w:lvlJc w:val="right"/>
      <w:pPr>
        <w:ind w:left="4178" w:hanging="180"/>
      </w:pPr>
    </w:lvl>
    <w:lvl w:ilvl="6" w:tplc="0405000F" w:tentative="1">
      <w:start w:val="1"/>
      <w:numFmt w:val="decimal"/>
      <w:lvlText w:val="%7."/>
      <w:lvlJc w:val="left"/>
      <w:pPr>
        <w:ind w:left="4898" w:hanging="360"/>
      </w:pPr>
    </w:lvl>
    <w:lvl w:ilvl="7" w:tplc="04050019" w:tentative="1">
      <w:start w:val="1"/>
      <w:numFmt w:val="lowerLetter"/>
      <w:lvlText w:val="%8."/>
      <w:lvlJc w:val="left"/>
      <w:pPr>
        <w:ind w:left="5618" w:hanging="360"/>
      </w:pPr>
    </w:lvl>
    <w:lvl w:ilvl="8" w:tplc="0405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6" w15:restartNumberingAfterBreak="0">
    <w:nsid w:val="25223814"/>
    <w:multiLevelType w:val="hybridMultilevel"/>
    <w:tmpl w:val="C7CC96A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AA6671"/>
    <w:multiLevelType w:val="hybridMultilevel"/>
    <w:tmpl w:val="814498A6"/>
    <w:lvl w:ilvl="0" w:tplc="0405000F">
      <w:start w:val="1"/>
      <w:numFmt w:val="decimal"/>
      <w:lvlText w:val="%1."/>
      <w:lvlJc w:val="left"/>
      <w:pPr>
        <w:ind w:left="1080" w:hanging="360"/>
      </w:p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2D275D87"/>
    <w:multiLevelType w:val="hybridMultilevel"/>
    <w:tmpl w:val="BE70888C"/>
    <w:lvl w:ilvl="0" w:tplc="04050001">
      <w:start w:val="1"/>
      <w:numFmt w:val="bullet"/>
      <w:lvlText w:val=""/>
      <w:lvlJc w:val="left"/>
      <w:pPr>
        <w:ind w:left="112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9" w15:restartNumberingAfterBreak="0">
    <w:nsid w:val="33FC0D4B"/>
    <w:multiLevelType w:val="hybridMultilevel"/>
    <w:tmpl w:val="1F4AB370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7643C00"/>
    <w:multiLevelType w:val="hybridMultilevel"/>
    <w:tmpl w:val="3BF47BAC"/>
    <w:lvl w:ilvl="0" w:tplc="04050011">
      <w:start w:val="1"/>
      <w:numFmt w:val="decimal"/>
      <w:lvlText w:val="%1)"/>
      <w:lvlJc w:val="left"/>
      <w:pPr>
        <w:ind w:left="1080" w:hanging="360"/>
      </w:p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384D2A26"/>
    <w:multiLevelType w:val="hybridMultilevel"/>
    <w:tmpl w:val="6018124A"/>
    <w:lvl w:ilvl="0" w:tplc="0405000F">
      <w:start w:val="1"/>
      <w:numFmt w:val="decimal"/>
      <w:lvlText w:val="%1."/>
      <w:lvlJc w:val="left"/>
      <w:pPr>
        <w:ind w:left="1428" w:hanging="360"/>
      </w:pPr>
    </w:lvl>
    <w:lvl w:ilvl="1" w:tplc="04050019" w:tentative="1">
      <w:start w:val="1"/>
      <w:numFmt w:val="lowerLetter"/>
      <w:lvlText w:val="%2."/>
      <w:lvlJc w:val="left"/>
      <w:pPr>
        <w:ind w:left="2148" w:hanging="360"/>
      </w:pPr>
    </w:lvl>
    <w:lvl w:ilvl="2" w:tplc="0405001B" w:tentative="1">
      <w:start w:val="1"/>
      <w:numFmt w:val="lowerRoman"/>
      <w:lvlText w:val="%3."/>
      <w:lvlJc w:val="right"/>
      <w:pPr>
        <w:ind w:left="2868" w:hanging="180"/>
      </w:pPr>
    </w:lvl>
    <w:lvl w:ilvl="3" w:tplc="0405000F" w:tentative="1">
      <w:start w:val="1"/>
      <w:numFmt w:val="decimal"/>
      <w:lvlText w:val="%4."/>
      <w:lvlJc w:val="left"/>
      <w:pPr>
        <w:ind w:left="3588" w:hanging="360"/>
      </w:pPr>
    </w:lvl>
    <w:lvl w:ilvl="4" w:tplc="04050019" w:tentative="1">
      <w:start w:val="1"/>
      <w:numFmt w:val="lowerLetter"/>
      <w:lvlText w:val="%5."/>
      <w:lvlJc w:val="left"/>
      <w:pPr>
        <w:ind w:left="4308" w:hanging="360"/>
      </w:pPr>
    </w:lvl>
    <w:lvl w:ilvl="5" w:tplc="0405001B" w:tentative="1">
      <w:start w:val="1"/>
      <w:numFmt w:val="lowerRoman"/>
      <w:lvlText w:val="%6."/>
      <w:lvlJc w:val="right"/>
      <w:pPr>
        <w:ind w:left="5028" w:hanging="180"/>
      </w:pPr>
    </w:lvl>
    <w:lvl w:ilvl="6" w:tplc="0405000F" w:tentative="1">
      <w:start w:val="1"/>
      <w:numFmt w:val="decimal"/>
      <w:lvlText w:val="%7."/>
      <w:lvlJc w:val="left"/>
      <w:pPr>
        <w:ind w:left="5748" w:hanging="360"/>
      </w:pPr>
    </w:lvl>
    <w:lvl w:ilvl="7" w:tplc="04050019" w:tentative="1">
      <w:start w:val="1"/>
      <w:numFmt w:val="lowerLetter"/>
      <w:lvlText w:val="%8."/>
      <w:lvlJc w:val="left"/>
      <w:pPr>
        <w:ind w:left="6468" w:hanging="360"/>
      </w:pPr>
    </w:lvl>
    <w:lvl w:ilvl="8" w:tplc="040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2" w15:restartNumberingAfterBreak="0">
    <w:nsid w:val="3D4F3582"/>
    <w:multiLevelType w:val="hybridMultilevel"/>
    <w:tmpl w:val="27E4D89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DC73419"/>
    <w:multiLevelType w:val="hybridMultilevel"/>
    <w:tmpl w:val="1B140FF6"/>
    <w:lvl w:ilvl="0" w:tplc="10E0DA90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2253CB0"/>
    <w:multiLevelType w:val="hybridMultilevel"/>
    <w:tmpl w:val="22161250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2CB2197"/>
    <w:multiLevelType w:val="hybridMultilevel"/>
    <w:tmpl w:val="E8300D30"/>
    <w:lvl w:ilvl="0" w:tplc="66C400FA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Times New Roman" w:hint="default"/>
        <w:color w:val="auto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58F4470"/>
    <w:multiLevelType w:val="hybridMultilevel"/>
    <w:tmpl w:val="4CB2CA0A"/>
    <w:lvl w:ilvl="0" w:tplc="4B66EED0">
      <w:start w:val="2"/>
      <w:numFmt w:val="bullet"/>
      <w:lvlText w:val="-"/>
      <w:lvlJc w:val="left"/>
      <w:pPr>
        <w:ind w:left="1068" w:hanging="360"/>
      </w:pPr>
      <w:rPr>
        <w:rFonts w:ascii="Calibri" w:eastAsia="Calibri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7" w15:restartNumberingAfterBreak="0">
    <w:nsid w:val="4B5545F8"/>
    <w:multiLevelType w:val="hybridMultilevel"/>
    <w:tmpl w:val="3C1C6DE6"/>
    <w:lvl w:ilvl="0" w:tplc="574EC2A2">
      <w:start w:val="2"/>
      <w:numFmt w:val="bullet"/>
      <w:lvlText w:val="-"/>
      <w:lvlJc w:val="left"/>
      <w:pPr>
        <w:ind w:left="1068" w:hanging="360"/>
      </w:pPr>
      <w:rPr>
        <w:rFonts w:ascii="Calibri" w:eastAsia="Calibri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8" w15:restartNumberingAfterBreak="0">
    <w:nsid w:val="502E34B7"/>
    <w:multiLevelType w:val="hybridMultilevel"/>
    <w:tmpl w:val="E436A82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34839DD"/>
    <w:multiLevelType w:val="hybridMultilevel"/>
    <w:tmpl w:val="12ACB3D4"/>
    <w:lvl w:ilvl="0" w:tplc="0405000F">
      <w:start w:val="1"/>
      <w:numFmt w:val="decimal"/>
      <w:lvlText w:val="%1."/>
      <w:lvlJc w:val="left"/>
      <w:pPr>
        <w:ind w:left="1080" w:hanging="360"/>
      </w:p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54C26B6C"/>
    <w:multiLevelType w:val="hybridMultilevel"/>
    <w:tmpl w:val="979CE200"/>
    <w:lvl w:ilvl="0" w:tplc="370634F2">
      <w:start w:val="1"/>
      <w:numFmt w:val="decimal"/>
      <w:lvlText w:val="%1)"/>
      <w:lvlJc w:val="left"/>
      <w:pPr>
        <w:ind w:left="720" w:hanging="360"/>
      </w:pPr>
      <w:rPr>
        <w:rFonts w:eastAsia="Lucida Sans Unicode" w:cs="Arial" w:hint="default"/>
        <w:u w:val="non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6CF7C9B"/>
    <w:multiLevelType w:val="hybridMultilevel"/>
    <w:tmpl w:val="D3367414"/>
    <w:lvl w:ilvl="0" w:tplc="86C47664">
      <w:start w:val="1"/>
      <w:numFmt w:val="decimal"/>
      <w:lvlText w:val="%1)"/>
      <w:lvlJc w:val="left"/>
      <w:pPr>
        <w:ind w:left="720" w:hanging="360"/>
      </w:pPr>
      <w:rPr>
        <w:color w:val="00000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1095213"/>
    <w:multiLevelType w:val="hybridMultilevel"/>
    <w:tmpl w:val="5E4E426A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148637D"/>
    <w:multiLevelType w:val="hybridMultilevel"/>
    <w:tmpl w:val="75A2394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68403CD4"/>
    <w:multiLevelType w:val="hybridMultilevel"/>
    <w:tmpl w:val="6874842E"/>
    <w:lvl w:ilvl="0" w:tplc="84C4D7A4">
      <w:start w:val="12"/>
      <w:numFmt w:val="bullet"/>
      <w:lvlText w:val="-"/>
      <w:lvlJc w:val="left"/>
      <w:pPr>
        <w:ind w:left="1218" w:hanging="360"/>
      </w:pPr>
      <w:rPr>
        <w:rFonts w:ascii="Calibri" w:eastAsia="Lucida Sans Unicode" w:hAnsi="Calibri" w:cs="Arial" w:hint="default"/>
      </w:rPr>
    </w:lvl>
    <w:lvl w:ilvl="1" w:tplc="04050003" w:tentative="1">
      <w:start w:val="1"/>
      <w:numFmt w:val="bullet"/>
      <w:lvlText w:val="o"/>
      <w:lvlJc w:val="left"/>
      <w:pPr>
        <w:ind w:left="193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5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7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9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1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53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5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78" w:hanging="360"/>
      </w:pPr>
      <w:rPr>
        <w:rFonts w:ascii="Wingdings" w:hAnsi="Wingdings" w:hint="default"/>
      </w:rPr>
    </w:lvl>
  </w:abstractNum>
  <w:abstractNum w:abstractNumId="25" w15:restartNumberingAfterBreak="0">
    <w:nsid w:val="6928793F"/>
    <w:multiLevelType w:val="hybridMultilevel"/>
    <w:tmpl w:val="1B140FF6"/>
    <w:lvl w:ilvl="0" w:tplc="10E0DA90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A3250D4"/>
    <w:multiLevelType w:val="hybridMultilevel"/>
    <w:tmpl w:val="78B4F84E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F6C5C2A"/>
    <w:multiLevelType w:val="hybridMultilevel"/>
    <w:tmpl w:val="151C5258"/>
    <w:lvl w:ilvl="0" w:tplc="10E0DA90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F9271FC"/>
    <w:multiLevelType w:val="hybridMultilevel"/>
    <w:tmpl w:val="9FFCECBE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5E06085"/>
    <w:multiLevelType w:val="hybridMultilevel"/>
    <w:tmpl w:val="43825974"/>
    <w:lvl w:ilvl="0" w:tplc="04050011">
      <w:start w:val="1"/>
      <w:numFmt w:val="decimal"/>
      <w:lvlText w:val="%1)"/>
      <w:lvlJc w:val="left"/>
      <w:pPr>
        <w:ind w:left="1080" w:hanging="360"/>
      </w:p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76241CCB"/>
    <w:multiLevelType w:val="hybridMultilevel"/>
    <w:tmpl w:val="FCE0C7D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5"/>
  </w:num>
  <w:num w:numId="3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1"/>
  </w:num>
  <w:num w:numId="5">
    <w:abstractNumId w:val="14"/>
  </w:num>
  <w:num w:numId="6">
    <w:abstractNumId w:val="19"/>
  </w:num>
  <w:num w:numId="7">
    <w:abstractNumId w:val="7"/>
  </w:num>
  <w:num w:numId="8">
    <w:abstractNumId w:val="10"/>
  </w:num>
  <w:num w:numId="9">
    <w:abstractNumId w:val="17"/>
  </w:num>
  <w:num w:numId="10">
    <w:abstractNumId w:val="16"/>
  </w:num>
  <w:num w:numId="11">
    <w:abstractNumId w:val="23"/>
  </w:num>
  <w:num w:numId="12">
    <w:abstractNumId w:val="6"/>
  </w:num>
  <w:num w:numId="13">
    <w:abstractNumId w:val="0"/>
  </w:num>
  <w:num w:numId="14">
    <w:abstractNumId w:val="13"/>
  </w:num>
  <w:num w:numId="15">
    <w:abstractNumId w:val="12"/>
  </w:num>
  <w:num w:numId="16">
    <w:abstractNumId w:val="27"/>
  </w:num>
  <w:num w:numId="17">
    <w:abstractNumId w:val="15"/>
  </w:num>
  <w:num w:numId="18">
    <w:abstractNumId w:val="22"/>
  </w:num>
  <w:num w:numId="19">
    <w:abstractNumId w:val="29"/>
  </w:num>
  <w:num w:numId="20">
    <w:abstractNumId w:val="3"/>
  </w:num>
  <w:num w:numId="21">
    <w:abstractNumId w:val="2"/>
  </w:num>
  <w:num w:numId="22">
    <w:abstractNumId w:val="28"/>
  </w:num>
  <w:num w:numId="23">
    <w:abstractNumId w:val="1"/>
  </w:num>
  <w:num w:numId="24">
    <w:abstractNumId w:val="9"/>
  </w:num>
  <w:num w:numId="25">
    <w:abstractNumId w:val="18"/>
  </w:num>
  <w:num w:numId="26">
    <w:abstractNumId w:val="4"/>
  </w:num>
  <w:num w:numId="27">
    <w:abstractNumId w:val="20"/>
  </w:num>
  <w:num w:numId="28">
    <w:abstractNumId w:val="26"/>
  </w:num>
  <w:num w:numId="29">
    <w:abstractNumId w:val="30"/>
  </w:num>
  <w:num w:numId="30">
    <w:abstractNumId w:val="24"/>
  </w:num>
  <w:num w:numId="3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1049E"/>
    <w:rsid w:val="00011FAA"/>
    <w:rsid w:val="00013FBC"/>
    <w:rsid w:val="00031CC9"/>
    <w:rsid w:val="000323BA"/>
    <w:rsid w:val="00053BF5"/>
    <w:rsid w:val="00070CC0"/>
    <w:rsid w:val="000917EE"/>
    <w:rsid w:val="000A5158"/>
    <w:rsid w:val="000B2129"/>
    <w:rsid w:val="000C184E"/>
    <w:rsid w:val="000C1B7F"/>
    <w:rsid w:val="000D3A21"/>
    <w:rsid w:val="000E7F13"/>
    <w:rsid w:val="000F09E1"/>
    <w:rsid w:val="000F4C03"/>
    <w:rsid w:val="00105122"/>
    <w:rsid w:val="00105335"/>
    <w:rsid w:val="001165D0"/>
    <w:rsid w:val="001224FD"/>
    <w:rsid w:val="0013605F"/>
    <w:rsid w:val="00141419"/>
    <w:rsid w:val="00141514"/>
    <w:rsid w:val="00142D73"/>
    <w:rsid w:val="00147480"/>
    <w:rsid w:val="00152C49"/>
    <w:rsid w:val="00161C59"/>
    <w:rsid w:val="001822A4"/>
    <w:rsid w:val="001C529E"/>
    <w:rsid w:val="001E1ACD"/>
    <w:rsid w:val="001E370B"/>
    <w:rsid w:val="001E793D"/>
    <w:rsid w:val="002100DF"/>
    <w:rsid w:val="00210665"/>
    <w:rsid w:val="00226488"/>
    <w:rsid w:val="00226A0F"/>
    <w:rsid w:val="00231481"/>
    <w:rsid w:val="00232D86"/>
    <w:rsid w:val="00244D2E"/>
    <w:rsid w:val="00256DD0"/>
    <w:rsid w:val="00260D86"/>
    <w:rsid w:val="00272479"/>
    <w:rsid w:val="002904E1"/>
    <w:rsid w:val="00297488"/>
    <w:rsid w:val="002A17D1"/>
    <w:rsid w:val="002C0FCD"/>
    <w:rsid w:val="002C6D4C"/>
    <w:rsid w:val="002D1F8F"/>
    <w:rsid w:val="002D73D8"/>
    <w:rsid w:val="002E520E"/>
    <w:rsid w:val="002F48E1"/>
    <w:rsid w:val="00306D65"/>
    <w:rsid w:val="00310C01"/>
    <w:rsid w:val="0031262B"/>
    <w:rsid w:val="00320022"/>
    <w:rsid w:val="00331F4B"/>
    <w:rsid w:val="00336620"/>
    <w:rsid w:val="003408A9"/>
    <w:rsid w:val="0035191D"/>
    <w:rsid w:val="00366086"/>
    <w:rsid w:val="00366ECC"/>
    <w:rsid w:val="00381E6A"/>
    <w:rsid w:val="003C2082"/>
    <w:rsid w:val="003C678D"/>
    <w:rsid w:val="003F04A4"/>
    <w:rsid w:val="004052DF"/>
    <w:rsid w:val="00416859"/>
    <w:rsid w:val="004238DB"/>
    <w:rsid w:val="00432043"/>
    <w:rsid w:val="004342B9"/>
    <w:rsid w:val="004571BE"/>
    <w:rsid w:val="0046133F"/>
    <w:rsid w:val="00466ABA"/>
    <w:rsid w:val="00474112"/>
    <w:rsid w:val="00486E9B"/>
    <w:rsid w:val="0048779E"/>
    <w:rsid w:val="004C4D22"/>
    <w:rsid w:val="004E22B8"/>
    <w:rsid w:val="004E6108"/>
    <w:rsid w:val="004F1F63"/>
    <w:rsid w:val="005165E1"/>
    <w:rsid w:val="0052113B"/>
    <w:rsid w:val="00526F81"/>
    <w:rsid w:val="00554A36"/>
    <w:rsid w:val="00565070"/>
    <w:rsid w:val="00575900"/>
    <w:rsid w:val="005840F9"/>
    <w:rsid w:val="0059603E"/>
    <w:rsid w:val="005A55BD"/>
    <w:rsid w:val="005B0C07"/>
    <w:rsid w:val="005C03AA"/>
    <w:rsid w:val="005C46F2"/>
    <w:rsid w:val="005C5264"/>
    <w:rsid w:val="005F7E27"/>
    <w:rsid w:val="00600FEA"/>
    <w:rsid w:val="00603A49"/>
    <w:rsid w:val="00605B7B"/>
    <w:rsid w:val="00625383"/>
    <w:rsid w:val="00625578"/>
    <w:rsid w:val="0062722F"/>
    <w:rsid w:val="00632B6E"/>
    <w:rsid w:val="00660811"/>
    <w:rsid w:val="0066769E"/>
    <w:rsid w:val="006702DD"/>
    <w:rsid w:val="0067210D"/>
    <w:rsid w:val="00673A43"/>
    <w:rsid w:val="0067524D"/>
    <w:rsid w:val="00695079"/>
    <w:rsid w:val="00696E8F"/>
    <w:rsid w:val="006B010B"/>
    <w:rsid w:val="006B2A58"/>
    <w:rsid w:val="006B6FD5"/>
    <w:rsid w:val="006C2470"/>
    <w:rsid w:val="006C3818"/>
    <w:rsid w:val="006D668C"/>
    <w:rsid w:val="006D6CE3"/>
    <w:rsid w:val="006E08A7"/>
    <w:rsid w:val="007001E9"/>
    <w:rsid w:val="00730F39"/>
    <w:rsid w:val="0074046F"/>
    <w:rsid w:val="00745CD0"/>
    <w:rsid w:val="00752E6F"/>
    <w:rsid w:val="007576F7"/>
    <w:rsid w:val="007829CF"/>
    <w:rsid w:val="0079232F"/>
    <w:rsid w:val="00794CE0"/>
    <w:rsid w:val="007B2A83"/>
    <w:rsid w:val="007B2F1F"/>
    <w:rsid w:val="007B6056"/>
    <w:rsid w:val="007B7511"/>
    <w:rsid w:val="007C5AA9"/>
    <w:rsid w:val="007E1035"/>
    <w:rsid w:val="00817F87"/>
    <w:rsid w:val="00824B37"/>
    <w:rsid w:val="00826A48"/>
    <w:rsid w:val="0084037A"/>
    <w:rsid w:val="0084400F"/>
    <w:rsid w:val="00847306"/>
    <w:rsid w:val="008866CE"/>
    <w:rsid w:val="00890E9E"/>
    <w:rsid w:val="008A1961"/>
    <w:rsid w:val="008A5456"/>
    <w:rsid w:val="008D0226"/>
    <w:rsid w:val="008D7AE0"/>
    <w:rsid w:val="00905756"/>
    <w:rsid w:val="00906A0D"/>
    <w:rsid w:val="0091049E"/>
    <w:rsid w:val="00913096"/>
    <w:rsid w:val="009133D5"/>
    <w:rsid w:val="00916B1B"/>
    <w:rsid w:val="00936B5A"/>
    <w:rsid w:val="00963896"/>
    <w:rsid w:val="00970D85"/>
    <w:rsid w:val="00972D4E"/>
    <w:rsid w:val="00973B57"/>
    <w:rsid w:val="00974827"/>
    <w:rsid w:val="009A4B2E"/>
    <w:rsid w:val="009A7E7A"/>
    <w:rsid w:val="009B272B"/>
    <w:rsid w:val="009B712B"/>
    <w:rsid w:val="009E4E24"/>
    <w:rsid w:val="009F7FB4"/>
    <w:rsid w:val="00A17CA9"/>
    <w:rsid w:val="00A21E7A"/>
    <w:rsid w:val="00A3152D"/>
    <w:rsid w:val="00A34025"/>
    <w:rsid w:val="00A36FA2"/>
    <w:rsid w:val="00A42212"/>
    <w:rsid w:val="00A45208"/>
    <w:rsid w:val="00A75465"/>
    <w:rsid w:val="00A90E38"/>
    <w:rsid w:val="00A96B0B"/>
    <w:rsid w:val="00AA4F9D"/>
    <w:rsid w:val="00AB56EC"/>
    <w:rsid w:val="00AC2950"/>
    <w:rsid w:val="00AC29FA"/>
    <w:rsid w:val="00AC2D6F"/>
    <w:rsid w:val="00AC6578"/>
    <w:rsid w:val="00AD2379"/>
    <w:rsid w:val="00AD52EC"/>
    <w:rsid w:val="00AF2186"/>
    <w:rsid w:val="00B05828"/>
    <w:rsid w:val="00B17013"/>
    <w:rsid w:val="00B2060C"/>
    <w:rsid w:val="00B34621"/>
    <w:rsid w:val="00B36D62"/>
    <w:rsid w:val="00B43257"/>
    <w:rsid w:val="00B50262"/>
    <w:rsid w:val="00B521E4"/>
    <w:rsid w:val="00B54A61"/>
    <w:rsid w:val="00B64E3A"/>
    <w:rsid w:val="00B74385"/>
    <w:rsid w:val="00B755E0"/>
    <w:rsid w:val="00B92DC1"/>
    <w:rsid w:val="00BA5547"/>
    <w:rsid w:val="00BB01FE"/>
    <w:rsid w:val="00BB0F7A"/>
    <w:rsid w:val="00BD7C09"/>
    <w:rsid w:val="00BF18A3"/>
    <w:rsid w:val="00BF21A3"/>
    <w:rsid w:val="00BF5DDF"/>
    <w:rsid w:val="00C02146"/>
    <w:rsid w:val="00C22755"/>
    <w:rsid w:val="00C24FFC"/>
    <w:rsid w:val="00C2520E"/>
    <w:rsid w:val="00C27A2F"/>
    <w:rsid w:val="00C4489B"/>
    <w:rsid w:val="00C45B76"/>
    <w:rsid w:val="00C507C9"/>
    <w:rsid w:val="00C515FB"/>
    <w:rsid w:val="00C52ACE"/>
    <w:rsid w:val="00C6038D"/>
    <w:rsid w:val="00C614B3"/>
    <w:rsid w:val="00C62B41"/>
    <w:rsid w:val="00C67FD7"/>
    <w:rsid w:val="00C7181A"/>
    <w:rsid w:val="00C74E8D"/>
    <w:rsid w:val="00C77ED2"/>
    <w:rsid w:val="00CD500B"/>
    <w:rsid w:val="00CE02EE"/>
    <w:rsid w:val="00CE7994"/>
    <w:rsid w:val="00CF67A7"/>
    <w:rsid w:val="00CF7602"/>
    <w:rsid w:val="00D10690"/>
    <w:rsid w:val="00D11421"/>
    <w:rsid w:val="00D40836"/>
    <w:rsid w:val="00D46EB5"/>
    <w:rsid w:val="00D52465"/>
    <w:rsid w:val="00D75D22"/>
    <w:rsid w:val="00D84FE0"/>
    <w:rsid w:val="00D924C7"/>
    <w:rsid w:val="00DA18AC"/>
    <w:rsid w:val="00DA46CF"/>
    <w:rsid w:val="00DD7796"/>
    <w:rsid w:val="00DE3661"/>
    <w:rsid w:val="00DF2C2D"/>
    <w:rsid w:val="00DF604C"/>
    <w:rsid w:val="00E1028E"/>
    <w:rsid w:val="00E1268C"/>
    <w:rsid w:val="00E20003"/>
    <w:rsid w:val="00E22906"/>
    <w:rsid w:val="00E312DD"/>
    <w:rsid w:val="00E54833"/>
    <w:rsid w:val="00E549DB"/>
    <w:rsid w:val="00E57763"/>
    <w:rsid w:val="00E75057"/>
    <w:rsid w:val="00E807B1"/>
    <w:rsid w:val="00E81537"/>
    <w:rsid w:val="00E90002"/>
    <w:rsid w:val="00E9101C"/>
    <w:rsid w:val="00E912B6"/>
    <w:rsid w:val="00EA2DE1"/>
    <w:rsid w:val="00EC2C1B"/>
    <w:rsid w:val="00ED2DCC"/>
    <w:rsid w:val="00EE29ED"/>
    <w:rsid w:val="00EF0B91"/>
    <w:rsid w:val="00F02537"/>
    <w:rsid w:val="00F049C9"/>
    <w:rsid w:val="00F136A9"/>
    <w:rsid w:val="00F30DDA"/>
    <w:rsid w:val="00F34503"/>
    <w:rsid w:val="00F43645"/>
    <w:rsid w:val="00F637AD"/>
    <w:rsid w:val="00F64C88"/>
    <w:rsid w:val="00F658A3"/>
    <w:rsid w:val="00F7222A"/>
    <w:rsid w:val="00F81D6C"/>
    <w:rsid w:val="00F84244"/>
    <w:rsid w:val="00F8427A"/>
    <w:rsid w:val="00F9175D"/>
    <w:rsid w:val="00F9582F"/>
    <w:rsid w:val="00FA1502"/>
    <w:rsid w:val="00FA49A6"/>
    <w:rsid w:val="00FA64BE"/>
    <w:rsid w:val="00FD11A1"/>
    <w:rsid w:val="00FE72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AB8CD5D"/>
  <w15:chartTrackingRefBased/>
  <w15:docId w15:val="{6EBB4D4B-6C54-4278-8E8F-B6892DD4A5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E22906"/>
    <w:pPr>
      <w:widowControl w:val="0"/>
      <w:suppressAutoHyphens/>
      <w:spacing w:after="0" w:line="240" w:lineRule="auto"/>
    </w:pPr>
    <w:rPr>
      <w:rFonts w:ascii="Times New Roman" w:eastAsia="Lucida Sans Unicode" w:hAnsi="Times New Roman" w:cs="Tahoma"/>
      <w:kern w:val="1"/>
      <w:sz w:val="24"/>
      <w:szCs w:val="24"/>
      <w:lang w:val="cs-CZ" w:eastAsia="hi-IN" w:bidi="hi-IN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91049E"/>
    <w:pPr>
      <w:widowControl/>
      <w:tabs>
        <w:tab w:val="center" w:pos="4536"/>
        <w:tab w:val="right" w:pos="9072"/>
      </w:tabs>
      <w:suppressAutoHyphens w:val="0"/>
    </w:pPr>
    <w:rPr>
      <w:rFonts w:asciiTheme="minorHAnsi" w:eastAsiaTheme="minorHAnsi" w:hAnsiTheme="minorHAnsi" w:cstheme="minorBidi"/>
      <w:kern w:val="0"/>
      <w:sz w:val="22"/>
      <w:szCs w:val="22"/>
      <w:lang w:val="sk-SK" w:eastAsia="en-US" w:bidi="ar-SA"/>
    </w:rPr>
  </w:style>
  <w:style w:type="character" w:customStyle="1" w:styleId="ZhlavChar">
    <w:name w:val="Záhlaví Char"/>
    <w:basedOn w:val="Standardnpsmoodstavce"/>
    <w:link w:val="Zhlav"/>
    <w:uiPriority w:val="99"/>
    <w:rsid w:val="0091049E"/>
  </w:style>
  <w:style w:type="paragraph" w:styleId="Zpat">
    <w:name w:val="footer"/>
    <w:basedOn w:val="Normln"/>
    <w:link w:val="ZpatChar"/>
    <w:uiPriority w:val="99"/>
    <w:unhideWhenUsed/>
    <w:rsid w:val="0091049E"/>
    <w:pPr>
      <w:widowControl/>
      <w:tabs>
        <w:tab w:val="center" w:pos="4536"/>
        <w:tab w:val="right" w:pos="9072"/>
      </w:tabs>
      <w:suppressAutoHyphens w:val="0"/>
    </w:pPr>
    <w:rPr>
      <w:rFonts w:asciiTheme="minorHAnsi" w:eastAsiaTheme="minorHAnsi" w:hAnsiTheme="minorHAnsi" w:cstheme="minorBidi"/>
      <w:kern w:val="0"/>
      <w:sz w:val="22"/>
      <w:szCs w:val="22"/>
      <w:lang w:val="sk-SK" w:eastAsia="en-US" w:bidi="ar-SA"/>
    </w:rPr>
  </w:style>
  <w:style w:type="character" w:customStyle="1" w:styleId="ZpatChar">
    <w:name w:val="Zápatí Char"/>
    <w:basedOn w:val="Standardnpsmoodstavce"/>
    <w:link w:val="Zpat"/>
    <w:uiPriority w:val="99"/>
    <w:rsid w:val="0091049E"/>
  </w:style>
  <w:style w:type="paragraph" w:customStyle="1" w:styleId="StylArial16bTuned-50ZarovnatdoblokuDolejedn">
    <w:name w:val="Styl Arial 16 b. Tučné Šedá-50% Zarovnat do bloku Dole: (jedn..."/>
    <w:basedOn w:val="Normln"/>
    <w:uiPriority w:val="99"/>
    <w:rsid w:val="00E22906"/>
    <w:pPr>
      <w:widowControl/>
      <w:pBdr>
        <w:bottom w:val="single" w:sz="4" w:space="1" w:color="auto"/>
      </w:pBdr>
      <w:suppressAutoHyphens w:val="0"/>
      <w:spacing w:before="480"/>
      <w:jc w:val="both"/>
    </w:pPr>
    <w:rPr>
      <w:rFonts w:ascii="Arial" w:eastAsia="Times New Roman" w:hAnsi="Arial" w:cs="Arial"/>
      <w:b/>
      <w:bCs/>
      <w:color w:val="808080"/>
      <w:kern w:val="0"/>
      <w:sz w:val="32"/>
      <w:szCs w:val="32"/>
      <w:lang w:eastAsia="cs-CZ" w:bidi="ar-SA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829CF"/>
    <w:rPr>
      <w:rFonts w:ascii="Segoe UI" w:hAnsi="Segoe UI" w:cs="Mangal"/>
      <w:sz w:val="18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829CF"/>
    <w:rPr>
      <w:rFonts w:ascii="Segoe UI" w:eastAsia="Lucida Sans Unicode" w:hAnsi="Segoe UI" w:cs="Mangal"/>
      <w:kern w:val="1"/>
      <w:sz w:val="18"/>
      <w:szCs w:val="16"/>
      <w:lang w:val="cs-CZ" w:eastAsia="hi-IN" w:bidi="hi-IN"/>
    </w:rPr>
  </w:style>
  <w:style w:type="paragraph" w:styleId="Odstavecseseznamem">
    <w:name w:val="List Paragraph"/>
    <w:basedOn w:val="Normln"/>
    <w:uiPriority w:val="34"/>
    <w:qFormat/>
    <w:rsid w:val="00625383"/>
    <w:pPr>
      <w:ind w:left="720"/>
      <w:contextualSpacing/>
    </w:pPr>
    <w:rPr>
      <w:rFonts w:cs="Mangal"/>
      <w:szCs w:val="21"/>
    </w:rPr>
  </w:style>
  <w:style w:type="character" w:styleId="Hypertextovodkaz">
    <w:name w:val="Hyperlink"/>
    <w:basedOn w:val="Standardnpsmoodstavce"/>
    <w:uiPriority w:val="99"/>
    <w:unhideWhenUsed/>
    <w:rsid w:val="003C2082"/>
    <w:rPr>
      <w:color w:val="0563C1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0C184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918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022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19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10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36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jp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jpeg"/><Relationship Id="rId19" Type="http://schemas.openxmlformats.org/officeDocument/2006/relationships/image" Target="media/image12.jp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26ADF43-A28A-4101-8B6A-AFFD4CB525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147</TotalTime>
  <Pages>8</Pages>
  <Words>1357</Words>
  <Characters>8008</Characters>
  <Application>Microsoft Office Word</Application>
  <DocSecurity>0</DocSecurity>
  <Lines>66</Lines>
  <Paragraphs>18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Petra</cp:lastModifiedBy>
  <cp:revision>13</cp:revision>
  <cp:lastPrinted>2020-12-14T16:55:00Z</cp:lastPrinted>
  <dcterms:created xsi:type="dcterms:W3CDTF">2022-06-02T15:01:00Z</dcterms:created>
  <dcterms:modified xsi:type="dcterms:W3CDTF">2022-06-13T14:11:00Z</dcterms:modified>
</cp:coreProperties>
</file>